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/>
        <w:ind w:left="2207" w:right="2205"/>
        <w:jc w:val="center"/>
        <w:rPr>
          <w:b/>
          <w:sz w:val="32"/>
        </w:rPr>
      </w:pPr>
      <w:r>
        <w:rPr>
          <w:b/>
          <w:sz w:val="32"/>
        </w:rPr>
        <w:t xml:space="preserve">北大六院关于做好 </w:t>
      </w:r>
      <w:r>
        <w:rPr>
          <w:rFonts w:ascii="Calibri" w:eastAsia="Calibri"/>
          <w:b/>
          <w:sz w:val="32"/>
        </w:rPr>
        <w:t>202</w:t>
      </w:r>
      <w:r>
        <w:rPr>
          <w:rFonts w:ascii="Calibri" w:eastAsiaTheme="minorEastAsia"/>
          <w:b/>
          <w:sz w:val="32"/>
        </w:rPr>
        <w:t>2</w:t>
      </w:r>
      <w:r>
        <w:rPr>
          <w:rFonts w:ascii="Calibri" w:eastAsia="Calibri"/>
          <w:b/>
          <w:sz w:val="32"/>
        </w:rPr>
        <w:t xml:space="preserve"> </w:t>
      </w:r>
      <w:r>
        <w:rPr>
          <w:b/>
          <w:sz w:val="32"/>
        </w:rPr>
        <w:t>年预算申报的通知</w:t>
      </w:r>
    </w:p>
    <w:p>
      <w:pPr>
        <w:pStyle w:val="3"/>
        <w:spacing w:before="11"/>
        <w:rPr>
          <w:b/>
          <w:sz w:val="13"/>
        </w:rPr>
      </w:pPr>
    </w:p>
    <w:p>
      <w:pPr>
        <w:pStyle w:val="3"/>
        <w:spacing w:before="62"/>
        <w:ind w:left="112"/>
      </w:pPr>
      <w:r>
        <w:t>各科室：</w:t>
      </w:r>
    </w:p>
    <w:p>
      <w:pPr>
        <w:pStyle w:val="3"/>
        <w:spacing w:before="9"/>
        <w:rPr>
          <w:sz w:val="20"/>
        </w:rPr>
      </w:pPr>
    </w:p>
    <w:p>
      <w:pPr>
        <w:pStyle w:val="3"/>
        <w:tabs>
          <w:tab w:val="left" w:pos="953"/>
        </w:tabs>
        <w:spacing w:line="417" w:lineRule="auto"/>
        <w:ind w:left="112" w:right="1654" w:firstLine="557"/>
        <w:rPr>
          <w:b/>
        </w:rPr>
      </w:pPr>
      <w:r>
        <w:t>按照国家卫</w:t>
      </w:r>
      <w:r>
        <w:rPr>
          <w:spacing w:val="-3"/>
        </w:rPr>
        <w:t>生</w:t>
      </w:r>
      <w:r>
        <w:t>健康预</w:t>
      </w:r>
      <w:r>
        <w:rPr>
          <w:spacing w:val="-3"/>
        </w:rPr>
        <w:t>算</w:t>
      </w:r>
      <w:r>
        <w:t>管理</w:t>
      </w:r>
      <w:r>
        <w:rPr>
          <w:spacing w:val="-3"/>
        </w:rPr>
        <w:t>的要</w:t>
      </w:r>
      <w:r>
        <w:t>求，结</w:t>
      </w:r>
      <w:r>
        <w:rPr>
          <w:spacing w:val="-3"/>
        </w:rPr>
        <w:t>合</w:t>
      </w:r>
      <w:r>
        <w:t>我院</w:t>
      </w:r>
      <w:r>
        <w:rPr>
          <w:spacing w:val="-3"/>
        </w:rPr>
        <w:t>实际</w:t>
      </w:r>
      <w:r>
        <w:t>情况，</w:t>
      </w:r>
      <w:r>
        <w:rPr>
          <w:spacing w:val="-3"/>
        </w:rPr>
        <w:t>为</w:t>
      </w:r>
      <w:r>
        <w:t>做好</w:t>
      </w:r>
      <w:r>
        <w:rPr>
          <w:spacing w:val="-58"/>
        </w:rPr>
        <w:t xml:space="preserve"> </w:t>
      </w:r>
      <w:r>
        <w:rPr>
          <w:rFonts w:ascii="Calibri" w:eastAsia="Calibri"/>
        </w:rPr>
        <w:t>202</w:t>
      </w:r>
      <w:r>
        <w:rPr>
          <w:rFonts w:ascii="Calibri" w:eastAsiaTheme="minorEastAsia"/>
        </w:rPr>
        <w:t>2</w:t>
      </w:r>
      <w:r>
        <w:t>年预算</w:t>
      </w:r>
      <w:r>
        <w:rPr>
          <w:spacing w:val="-3"/>
        </w:rPr>
        <w:t>编</w:t>
      </w:r>
      <w:r>
        <w:t>制工作</w:t>
      </w:r>
      <w:r>
        <w:rPr>
          <w:spacing w:val="-3"/>
        </w:rPr>
        <w:t>，</w:t>
      </w:r>
      <w:r>
        <w:t>现通知</w:t>
      </w:r>
      <w:r>
        <w:rPr>
          <w:spacing w:val="-3"/>
        </w:rPr>
        <w:t>如</w:t>
      </w:r>
      <w:r>
        <w:t xml:space="preserve">下： </w:t>
      </w:r>
      <w:r>
        <w:rPr>
          <w:b/>
        </w:rPr>
        <w:t>一、</w:t>
      </w:r>
      <w:r>
        <w:rPr>
          <w:b/>
        </w:rPr>
        <w:tab/>
      </w:r>
      <w:r>
        <w:rPr>
          <w:b/>
        </w:rPr>
        <w:t>总体要求</w:t>
      </w:r>
    </w:p>
    <w:p>
      <w:pPr>
        <w:pStyle w:val="3"/>
        <w:spacing w:line="417" w:lineRule="auto"/>
        <w:ind w:left="112" w:right="125" w:firstLine="559"/>
      </w:pPr>
      <w:r>
        <w:rPr>
          <w:spacing w:val="-11"/>
        </w:rPr>
        <w:t>根据《北京大学第六医院</w:t>
      </w:r>
      <w:r>
        <w:rPr>
          <w:rFonts w:hint="eastAsia"/>
          <w:spacing w:val="-11"/>
          <w:lang w:val="en-US" w:eastAsia="zh-CN"/>
        </w:rPr>
        <w:t>全面</w:t>
      </w:r>
      <w:r>
        <w:rPr>
          <w:spacing w:val="-11"/>
        </w:rPr>
        <w:t xml:space="preserve">预算管理制度》，各科室领导要高度重视，对本科室预算的科学性、真实性、完整性负  </w:t>
      </w:r>
      <w:r>
        <w:rPr>
          <w:spacing w:val="-7"/>
        </w:rPr>
        <w:t>责。医院年度预算遵循“两上两下”的编制程序。各科室根据预算年度内医院事业发展规划结合本部门实际情况，提出</w:t>
      </w:r>
      <w:r>
        <w:rPr>
          <w:rFonts w:ascii="Calibri" w:hAnsi="Calibri" w:eastAsia="Calibri"/>
          <w:spacing w:val="-7"/>
        </w:rPr>
        <w:t>202</w:t>
      </w:r>
      <w:r>
        <w:rPr>
          <w:rFonts w:ascii="Calibri" w:hAnsi="Calibri" w:eastAsiaTheme="minorEastAsia"/>
          <w:spacing w:val="-7"/>
        </w:rPr>
        <w:t>2</w:t>
      </w:r>
      <w:r>
        <w:rPr>
          <w:spacing w:val="-3"/>
        </w:rPr>
        <w:t>年经费收入、支出预算数，科室预算管理员负责编报预算，科室负责人审批，主管院领导审批后</w:t>
      </w:r>
      <w:r>
        <w:t>（</w:t>
      </w:r>
      <w:r>
        <w:rPr>
          <w:spacing w:val="-3"/>
        </w:rPr>
        <w:t>设备及资产采购预算</w:t>
      </w:r>
      <w:r>
        <w:rPr>
          <w:spacing w:val="-140"/>
        </w:rPr>
        <w:t>）</w:t>
      </w:r>
      <w:r>
        <w:rPr>
          <w:spacing w:val="-3"/>
        </w:rPr>
        <w:t>，提交归口部门审核，计财处汇总，提交预算管理委员会讨论审议，报院长办公会和党委会审批。</w:t>
      </w:r>
    </w:p>
    <w:p>
      <w:pPr>
        <w:pStyle w:val="2"/>
        <w:spacing w:line="358" w:lineRule="exact"/>
        <w:ind w:left="674"/>
        <w:rPr>
          <w:u w:val="none"/>
        </w:rPr>
      </w:pPr>
      <w:r>
        <w:rPr>
          <w:spacing w:val="-17"/>
        </w:rPr>
        <w:t>为响应医院 “继续落实过紧日子”、“保证基本需求”的核心思想，本着“围绕中心，保障重点”的原则，请各科</w:t>
      </w:r>
    </w:p>
    <w:p>
      <w:pPr>
        <w:pStyle w:val="3"/>
        <w:spacing w:before="11"/>
        <w:rPr>
          <w:b/>
          <w:sz w:val="15"/>
        </w:rPr>
      </w:pPr>
    </w:p>
    <w:p>
      <w:pPr>
        <w:spacing w:before="62"/>
        <w:ind w:left="112"/>
        <w:rPr>
          <w:b/>
          <w:sz w:val="28"/>
        </w:rPr>
      </w:pPr>
      <w:r>
        <w:rPr>
          <w:b/>
          <w:sz w:val="28"/>
          <w:u w:val="single"/>
        </w:rPr>
        <w:t>室根据实际情况科学、合理申报预算。</w:t>
      </w:r>
    </w:p>
    <w:p>
      <w:pPr>
        <w:pStyle w:val="3"/>
        <w:spacing w:before="12"/>
        <w:rPr>
          <w:b/>
          <w:sz w:val="15"/>
        </w:rPr>
      </w:pPr>
    </w:p>
    <w:p>
      <w:pPr>
        <w:tabs>
          <w:tab w:val="left" w:pos="953"/>
        </w:tabs>
        <w:spacing w:before="61"/>
        <w:ind w:left="112"/>
        <w:rPr>
          <w:b/>
          <w:sz w:val="28"/>
        </w:rPr>
      </w:pPr>
      <w:r>
        <w:rPr>
          <w:b/>
          <w:sz w:val="28"/>
        </w:rPr>
        <w:t>二、</w:t>
      </w:r>
      <w:r>
        <w:rPr>
          <w:b/>
          <w:sz w:val="28"/>
        </w:rPr>
        <w:tab/>
      </w:r>
      <w:r>
        <w:rPr>
          <w:b/>
          <w:sz w:val="28"/>
        </w:rPr>
        <w:t>编制要求</w:t>
      </w:r>
    </w:p>
    <w:p>
      <w:pPr>
        <w:pStyle w:val="3"/>
        <w:spacing w:before="9"/>
        <w:rPr>
          <w:b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026"/>
        </w:tabs>
        <w:ind w:hanging="354"/>
        <w:jc w:val="both"/>
        <w:rPr>
          <w:sz w:val="28"/>
        </w:rPr>
      </w:pPr>
      <w:r>
        <w:rPr>
          <w:spacing w:val="-1"/>
          <w:sz w:val="28"/>
        </w:rPr>
        <w:t>填报要求：</w:t>
      </w:r>
    </w:p>
    <w:p>
      <w:pPr>
        <w:pStyle w:val="3"/>
        <w:spacing w:before="5" w:line="620" w:lineRule="atLeast"/>
        <w:ind w:left="112" w:right="139" w:firstLine="559"/>
        <w:jc w:val="both"/>
      </w:pPr>
      <w:r>
        <w:rPr>
          <w:spacing w:val="-3"/>
        </w:rPr>
        <w:t>医院年度预算编制程序为</w:t>
      </w:r>
      <w:r>
        <w:rPr>
          <w:rFonts w:ascii="Calibri" w:hAnsi="Calibri" w:eastAsia="Calibri"/>
        </w:rPr>
        <w:t>“</w:t>
      </w:r>
      <w:r>
        <w:rPr>
          <w:spacing w:val="-3"/>
        </w:rPr>
        <w:t>一上一下</w:t>
      </w:r>
      <w:r>
        <w:rPr>
          <w:rFonts w:ascii="Calibri" w:hAnsi="Calibri" w:eastAsia="Calibri"/>
        </w:rPr>
        <w:t>”</w:t>
      </w:r>
      <w:r>
        <w:t>（ 即科室编制上报</w:t>
      </w:r>
      <w:r>
        <w:rPr>
          <w:rFonts w:ascii="Calibri" w:hAnsi="Calibri" w:eastAsia="Calibri"/>
        </w:rPr>
        <w:t>——</w:t>
      </w:r>
      <w:r>
        <w:rPr>
          <w:spacing w:val="-3"/>
        </w:rPr>
        <w:t>归口部门审核</w:t>
      </w:r>
      <w:r>
        <w:rPr>
          <w:rFonts w:ascii="Calibri" w:hAnsi="Calibri" w:eastAsia="Calibri"/>
        </w:rPr>
        <w:t>——</w:t>
      </w:r>
      <w:r>
        <w:rPr>
          <w:spacing w:val="-1"/>
        </w:rPr>
        <w:t>财务综合平衡</w:t>
      </w:r>
      <w:r>
        <w:rPr>
          <w:rFonts w:ascii="Calibri" w:hAnsi="Calibri" w:eastAsia="Calibri"/>
        </w:rPr>
        <w:t>——</w:t>
      </w:r>
      <w:r>
        <w:rPr>
          <w:spacing w:val="-1"/>
        </w:rPr>
        <w:t>下达归口部门</w:t>
      </w:r>
      <w:r>
        <w:rPr>
          <w:rFonts w:ascii="Calibri" w:hAnsi="Calibri" w:eastAsia="Calibri"/>
          <w:spacing w:val="-3"/>
        </w:rPr>
        <w:t xml:space="preserve">—— </w:t>
      </w:r>
      <w:r>
        <w:rPr>
          <w:spacing w:val="-3"/>
        </w:rPr>
        <w:t>归口部门下达各科室</w:t>
      </w:r>
      <w:r>
        <w:rPr>
          <w:spacing w:val="-140"/>
        </w:rPr>
        <w:t>）</w:t>
      </w:r>
      <w:r>
        <w:rPr>
          <w:spacing w:val="-2"/>
        </w:rPr>
        <w:t>，及</w:t>
      </w:r>
      <w:r>
        <w:rPr>
          <w:rFonts w:ascii="Calibri" w:hAnsi="Calibri" w:eastAsia="Calibri"/>
        </w:rPr>
        <w:t>“</w:t>
      </w:r>
      <w:r>
        <w:rPr>
          <w:spacing w:val="-2"/>
        </w:rPr>
        <w:t>二上二下</w:t>
      </w:r>
      <w:r>
        <w:rPr>
          <w:rFonts w:ascii="Calibri" w:hAnsi="Calibri" w:eastAsia="Calibri"/>
          <w:spacing w:val="-3"/>
        </w:rPr>
        <w:t>”</w:t>
      </w:r>
      <w:r>
        <w:t>（</w:t>
      </w:r>
      <w:r>
        <w:rPr>
          <w:spacing w:val="-1"/>
        </w:rPr>
        <w:t>即科室根据</w:t>
      </w:r>
      <w:r>
        <w:rPr>
          <w:rFonts w:ascii="Calibri" w:hAnsi="Calibri" w:eastAsia="Calibri"/>
        </w:rPr>
        <w:t>“</w:t>
      </w:r>
      <w:r>
        <w:rPr>
          <w:spacing w:val="-3"/>
        </w:rPr>
        <w:t>一下</w:t>
      </w:r>
      <w:r>
        <w:rPr>
          <w:rFonts w:ascii="Calibri" w:hAnsi="Calibri" w:eastAsia="Calibri"/>
        </w:rPr>
        <w:t>”</w:t>
      </w:r>
      <w:r>
        <w:rPr>
          <w:spacing w:val="-2"/>
        </w:rPr>
        <w:t>建议数编制上报</w:t>
      </w:r>
      <w:r>
        <w:rPr>
          <w:rFonts w:ascii="Calibri" w:hAnsi="Calibri" w:eastAsia="Calibri"/>
          <w:spacing w:val="-2"/>
        </w:rPr>
        <w:t>——</w:t>
      </w:r>
      <w:r>
        <w:rPr>
          <w:spacing w:val="-2"/>
        </w:rPr>
        <w:t>归口部门审核</w:t>
      </w:r>
      <w:r>
        <w:rPr>
          <w:rFonts w:ascii="Calibri" w:hAnsi="Calibri" w:eastAsia="Calibri"/>
          <w:spacing w:val="-2"/>
        </w:rPr>
        <w:t>——</w:t>
      </w:r>
      <w:r>
        <w:rPr>
          <w:spacing w:val="-1"/>
        </w:rPr>
        <w:t>财务综合平衡</w:t>
      </w:r>
      <w:r>
        <w:rPr>
          <w:rFonts w:ascii="Calibri" w:hAnsi="Calibri" w:eastAsia="Calibri"/>
          <w:spacing w:val="-3"/>
        </w:rPr>
        <w:t>——</w:t>
      </w:r>
      <w:r>
        <w:t>提交</w:t>
      </w:r>
      <w:r>
        <w:rPr>
          <w:spacing w:val="-3"/>
        </w:rPr>
        <w:t>预算管理委员会审议</w:t>
      </w:r>
      <w:r>
        <w:rPr>
          <w:rFonts w:ascii="Calibri" w:hAnsi="Calibri" w:eastAsia="Calibri"/>
        </w:rPr>
        <w:t>——</w:t>
      </w:r>
      <w:r>
        <w:rPr>
          <w:spacing w:val="-3"/>
        </w:rPr>
        <w:t>报院长办公会及党委会审批</w:t>
      </w:r>
      <w:r>
        <w:rPr>
          <w:rFonts w:ascii="Calibri" w:hAnsi="Calibri" w:eastAsia="Calibri"/>
        </w:rPr>
        <w:t>——</w:t>
      </w:r>
      <w:r>
        <w:rPr>
          <w:spacing w:val="-1"/>
        </w:rPr>
        <w:t>下达归口部门</w:t>
      </w:r>
      <w:r>
        <w:rPr>
          <w:rFonts w:ascii="Calibri" w:hAnsi="Calibri" w:eastAsia="Calibri"/>
        </w:rPr>
        <w:t>——</w:t>
      </w:r>
      <w:r>
        <w:rPr>
          <w:spacing w:val="-3"/>
        </w:rPr>
        <w:t>归口部门下达各科室</w:t>
      </w:r>
      <w:r>
        <w:rPr>
          <w:spacing w:val="-140"/>
        </w:rPr>
        <w:t>）</w:t>
      </w:r>
      <w:r>
        <w:rPr>
          <w:spacing w:val="-1"/>
        </w:rPr>
        <w:t>。医院预算的“两上两</w:t>
      </w:r>
    </w:p>
    <w:p>
      <w:pPr>
        <w:spacing w:line="620" w:lineRule="atLeast"/>
        <w:jc w:val="both"/>
        <w:sectPr>
          <w:footerReference r:id="rId3" w:type="default"/>
          <w:type w:val="continuous"/>
          <w:pgSz w:w="16840" w:h="11910" w:orient="landscape"/>
          <w:pgMar w:top="1100" w:right="1020" w:bottom="1380" w:left="1020" w:header="720" w:footer="1193" w:gutter="0"/>
          <w:pgNumType w:start="1"/>
          <w:cols w:space="720" w:num="1"/>
        </w:sectPr>
      </w:pPr>
    </w:p>
    <w:p>
      <w:pPr>
        <w:pStyle w:val="3"/>
        <w:spacing w:before="159"/>
        <w:ind w:left="112"/>
      </w:pPr>
      <w:r>
        <w:t>下”编制程序在</w:t>
      </w:r>
      <w:r>
        <w:rPr>
          <w:rFonts w:ascii="Calibri" w:hAnsi="Calibri" w:eastAsia="Calibri"/>
        </w:rPr>
        <w:t>“</w:t>
      </w:r>
      <w:r>
        <w:t>财务信息一体化平台</w:t>
      </w:r>
      <w:r>
        <w:rPr>
          <w:rFonts w:ascii="Calibri" w:hAnsi="Calibri" w:eastAsia="Calibri"/>
        </w:rPr>
        <w:t>”</w:t>
      </w:r>
      <w:r>
        <w:t>的</w:t>
      </w:r>
      <w:r>
        <w:rPr>
          <w:rFonts w:ascii="Calibri" w:hAnsi="Calibri" w:eastAsia="Calibri"/>
        </w:rPr>
        <w:t>“</w:t>
      </w:r>
      <w:r>
        <w:t>预算管理</w:t>
      </w:r>
      <w:r>
        <w:rPr>
          <w:rFonts w:ascii="Calibri" w:hAnsi="Calibri" w:eastAsia="Calibri"/>
        </w:rPr>
        <w:t>”</w:t>
      </w:r>
      <w:r>
        <w:t>模块中完成。</w:t>
      </w:r>
    </w:p>
    <w:p>
      <w:pPr>
        <w:spacing w:before="266"/>
        <w:ind w:left="672"/>
        <w:rPr>
          <w:sz w:val="28"/>
        </w:rPr>
      </w:pPr>
      <w:r>
        <w:rPr>
          <w:sz w:val="28"/>
        </w:rPr>
        <w:t>预算编制分为</w:t>
      </w:r>
      <w:r>
        <w:rPr>
          <w:b/>
          <w:sz w:val="28"/>
          <w:u w:val="single"/>
        </w:rPr>
        <w:t>收入预算</w:t>
      </w:r>
      <w:r>
        <w:rPr>
          <w:sz w:val="28"/>
        </w:rPr>
        <w:t>和</w:t>
      </w:r>
      <w:r>
        <w:rPr>
          <w:b/>
          <w:sz w:val="28"/>
          <w:u w:val="single"/>
        </w:rPr>
        <w:t>支出预算</w:t>
      </w:r>
      <w:r>
        <w:rPr>
          <w:sz w:val="28"/>
        </w:rPr>
        <w:t>两大类。涉及的</w:t>
      </w:r>
      <w:r>
        <w:rPr>
          <w:b/>
          <w:sz w:val="28"/>
          <w:u w:val="single"/>
        </w:rPr>
        <w:t xml:space="preserve">预算单据 </w:t>
      </w:r>
      <w:r>
        <w:rPr>
          <w:rFonts w:ascii="Calibri" w:eastAsia="Calibri"/>
          <w:b/>
          <w:sz w:val="28"/>
          <w:u w:val="single"/>
        </w:rPr>
        <w:t xml:space="preserve">4 </w:t>
      </w:r>
      <w:r>
        <w:rPr>
          <w:b/>
          <w:sz w:val="28"/>
          <w:u w:val="single"/>
        </w:rPr>
        <w:t>种</w:t>
      </w:r>
      <w:r>
        <w:rPr>
          <w:sz w:val="28"/>
        </w:rPr>
        <w:t>，分别是：</w:t>
      </w:r>
    </w:p>
    <w:p>
      <w:pPr>
        <w:pStyle w:val="3"/>
        <w:spacing w:before="11"/>
        <w:rPr>
          <w:sz w:val="15"/>
        </w:rPr>
      </w:pPr>
    </w:p>
    <w:p>
      <w:pPr>
        <w:pStyle w:val="2"/>
        <w:tabs>
          <w:tab w:val="left" w:pos="4467"/>
        </w:tabs>
        <w:spacing w:before="62"/>
        <w:ind w:left="672"/>
        <w:rPr>
          <w:u w:val="none"/>
        </w:rPr>
      </w:pPr>
      <w:r>
        <w:rPr>
          <w:u w:val="none"/>
        </w:rPr>
        <w:t>（</w:t>
      </w:r>
      <w:r>
        <w:rPr>
          <w:rFonts w:ascii="Calibri" w:eastAsia="Calibri"/>
          <w:u w:val="none"/>
        </w:rPr>
        <w:t>1</w:t>
      </w:r>
      <w:r>
        <w:rPr>
          <w:u w:val="none"/>
        </w:rPr>
        <w:t>）日常基本经费预算</w:t>
      </w:r>
      <w:r>
        <w:rPr>
          <w:u w:val="none"/>
        </w:rPr>
        <w:tab/>
      </w:r>
      <w:r>
        <w:rPr>
          <w:u w:val="none"/>
        </w:rPr>
        <w:t>（</w:t>
      </w:r>
      <w:r>
        <w:rPr>
          <w:rFonts w:ascii="Calibri" w:eastAsia="Calibri"/>
          <w:u w:val="none"/>
        </w:rPr>
        <w:t>2</w:t>
      </w:r>
      <w:r>
        <w:rPr>
          <w:u w:val="none"/>
        </w:rPr>
        <w:t>）设备及资产采购预算</w:t>
      </w:r>
    </w:p>
    <w:p>
      <w:pPr>
        <w:tabs>
          <w:tab w:val="left" w:pos="4443"/>
        </w:tabs>
        <w:spacing w:before="265"/>
        <w:ind w:left="674"/>
        <w:rPr>
          <w:b/>
          <w:sz w:val="28"/>
        </w:rPr>
      </w:pPr>
      <w:r>
        <w:rPr>
          <w:b/>
          <w:sz w:val="28"/>
        </w:rPr>
        <w:t>（</w:t>
      </w:r>
      <w:r>
        <w:rPr>
          <w:rFonts w:ascii="Calibri" w:hAnsi="Calibri" w:eastAsia="Calibri"/>
          <w:b/>
          <w:sz w:val="28"/>
        </w:rPr>
        <w:t>3</w:t>
      </w:r>
      <w:r>
        <w:rPr>
          <w:b/>
          <w:sz w:val="28"/>
        </w:rPr>
        <w:t>）院内</w:t>
      </w:r>
      <w:r>
        <w:rPr>
          <w:rFonts w:ascii="Calibri" w:hAnsi="Calibri" w:eastAsia="Calibri"/>
          <w:b/>
          <w:spacing w:val="-3"/>
          <w:sz w:val="28"/>
        </w:rPr>
        <w:t>—</w:t>
      </w:r>
      <w:r>
        <w:rPr>
          <w:b/>
          <w:sz w:val="28"/>
        </w:rPr>
        <w:t>其他项目预算</w:t>
      </w:r>
      <w:r>
        <w:rPr>
          <w:b/>
          <w:sz w:val="28"/>
        </w:rPr>
        <w:tab/>
      </w:r>
      <w:r>
        <w:rPr>
          <w:b/>
          <w:sz w:val="28"/>
        </w:rPr>
        <w:t>（</w:t>
      </w:r>
      <w:r>
        <w:rPr>
          <w:rFonts w:ascii="Calibri" w:hAnsi="Calibri" w:eastAsia="Calibri"/>
          <w:b/>
          <w:sz w:val="28"/>
        </w:rPr>
        <w:t>4</w:t>
      </w:r>
      <w:r>
        <w:rPr>
          <w:b/>
          <w:sz w:val="28"/>
        </w:rPr>
        <w:t>）收入预算</w:t>
      </w:r>
    </w:p>
    <w:p>
      <w:pPr>
        <w:pStyle w:val="3"/>
        <w:spacing w:before="266"/>
        <w:ind w:left="672"/>
      </w:pPr>
      <w:r>
        <w:t>各项预算包含的内容、对应的填报科室、归口部门、附件要求见下表：</w:t>
      </w:r>
    </w:p>
    <w:p>
      <w:pPr>
        <w:pStyle w:val="3"/>
        <w:spacing w:before="4"/>
        <w:rPr>
          <w:sz w:val="10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841"/>
        <w:gridCol w:w="2760"/>
        <w:gridCol w:w="1740"/>
        <w:gridCol w:w="1839"/>
        <w:gridCol w:w="3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单据类别</w:t>
            </w:r>
          </w:p>
        </w:tc>
        <w:tc>
          <w:tcPr>
            <w:tcW w:w="1841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76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958" w:right="9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预算科目</w:t>
            </w:r>
          </w:p>
        </w:tc>
        <w:tc>
          <w:tcPr>
            <w:tcW w:w="174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编制科室填报</w:t>
            </w:r>
          </w:p>
        </w:tc>
        <w:tc>
          <w:tcPr>
            <w:tcW w:w="1839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归口部门审核</w:t>
            </w:r>
          </w:p>
        </w:tc>
        <w:tc>
          <w:tcPr>
            <w:tcW w:w="3982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71" w:right="1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附件要求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9"/>
              </w:rPr>
            </w:pPr>
          </w:p>
          <w:p>
            <w:pPr>
              <w:pStyle w:val="8"/>
              <w:ind w:left="220"/>
              <w:rPr>
                <w:sz w:val="20"/>
              </w:rPr>
            </w:pPr>
            <w:r>
              <w:rPr>
                <w:sz w:val="20"/>
              </w:rPr>
              <w:t>日常基本经费预算</w:t>
            </w:r>
          </w:p>
        </w:tc>
        <w:tc>
          <w:tcPr>
            <w:tcW w:w="1841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院经费运行-人员</w:t>
            </w: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人员经费</w:t>
            </w:r>
          </w:p>
        </w:tc>
        <w:tc>
          <w:tcPr>
            <w:tcW w:w="1740" w:type="dxa"/>
          </w:tcPr>
          <w:p>
            <w:pPr>
              <w:pStyle w:val="8"/>
              <w:spacing w:before="4" w:line="312" w:lineRule="exact"/>
              <w:ind w:left="108" w:right="222"/>
              <w:rPr>
                <w:sz w:val="20"/>
              </w:rPr>
            </w:pPr>
            <w:r>
              <w:rPr>
                <w:sz w:val="20"/>
              </w:rPr>
              <w:t>人事处、党院办等相关科室</w:t>
            </w:r>
          </w:p>
        </w:tc>
        <w:tc>
          <w:tcPr>
            <w:tcW w:w="1839" w:type="dxa"/>
          </w:tcPr>
          <w:p>
            <w:pPr>
              <w:pStyle w:val="8"/>
              <w:spacing w:before="4" w:line="312" w:lineRule="exact"/>
              <w:ind w:left="108" w:right="120"/>
              <w:rPr>
                <w:sz w:val="20"/>
              </w:rPr>
            </w:pPr>
            <w:r>
              <w:rPr>
                <w:sz w:val="20"/>
              </w:rPr>
              <w:t>人事处、党院办等经费归口部门</w:t>
            </w:r>
          </w:p>
        </w:tc>
        <w:tc>
          <w:tcPr>
            <w:tcW w:w="3982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sz w:val="20"/>
              </w:rPr>
              <w:t>申请依据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3"/>
              </w:rPr>
            </w:pPr>
          </w:p>
          <w:p>
            <w:pPr>
              <w:pStyle w:val="8"/>
              <w:ind w:left="173"/>
              <w:rPr>
                <w:sz w:val="20"/>
              </w:rPr>
            </w:pPr>
            <w:r>
              <w:rPr>
                <w:sz w:val="20"/>
              </w:rPr>
              <w:t>院经费运行-公用</w:t>
            </w: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维修、修缮费用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修建科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398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41" w:line="292" w:lineRule="auto"/>
              <w:ind w:left="111" w:right="261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pacing w:val="-6"/>
                <w:sz w:val="20"/>
              </w:rPr>
              <w:t>申请依据。大于等于</w:t>
            </w:r>
            <w:r>
              <w:rPr>
                <w:rFonts w:hint="eastAsia"/>
                <w:spacing w:val="-6"/>
                <w:sz w:val="20"/>
                <w:lang w:val="en-US" w:eastAsia="zh-CN"/>
              </w:rPr>
              <w:t>10</w:t>
            </w:r>
            <w:r>
              <w:rPr>
                <w:spacing w:val="-9"/>
                <w:sz w:val="20"/>
              </w:rPr>
              <w:t>万元的</w:t>
            </w:r>
            <w:r>
              <w:rPr>
                <w:rFonts w:hint="eastAsia"/>
                <w:spacing w:val="-9"/>
                <w:sz w:val="20"/>
                <w:lang w:val="en-US" w:eastAsia="zh-CN"/>
              </w:rPr>
              <w:t>修缮工程预算，</w:t>
            </w:r>
            <w:r>
              <w:rPr>
                <w:spacing w:val="-9"/>
                <w:sz w:val="20"/>
              </w:rPr>
              <w:t>需要单</w:t>
            </w:r>
            <w:r>
              <w:rPr>
                <w:sz w:val="20"/>
              </w:rPr>
              <w:t>独提交</w:t>
            </w:r>
            <w:r>
              <w:rPr>
                <w:rFonts w:hint="eastAsia"/>
                <w:sz w:val="20"/>
                <w:lang w:val="en-US" w:eastAsia="zh-CN"/>
              </w:rPr>
              <w:t>预算申报表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工程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39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职能处室负责经费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相关科室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各经费归口部门</w:t>
            </w:r>
          </w:p>
        </w:tc>
        <w:tc>
          <w:tcPr>
            <w:tcW w:w="3982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sz w:val="20"/>
              </w:rPr>
              <w:t>申请依据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其他支出</w:t>
            </w:r>
          </w:p>
        </w:tc>
        <w:tc>
          <w:tcPr>
            <w:tcW w:w="1740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相关科室</w:t>
            </w:r>
          </w:p>
        </w:tc>
        <w:tc>
          <w:tcPr>
            <w:tcW w:w="1839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各经费归口部门</w:t>
            </w:r>
          </w:p>
        </w:tc>
        <w:tc>
          <w:tcPr>
            <w:tcW w:w="3982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申请依据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购药品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药剂科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医务处</w:t>
            </w:r>
          </w:p>
        </w:tc>
        <w:tc>
          <w:tcPr>
            <w:tcW w:w="3982" w:type="dxa"/>
          </w:tcPr>
          <w:p>
            <w:pPr>
              <w:pStyle w:val="8"/>
              <w:spacing w:before="4" w:line="312" w:lineRule="exact"/>
              <w:ind w:left="111" w:right="221"/>
              <w:rPr>
                <w:sz w:val="20"/>
              </w:rPr>
            </w:pPr>
            <w:r>
              <w:rPr>
                <w:sz w:val="20"/>
              </w:rPr>
              <w:t>申请依据，可根据预期工作量、上年支出等情况确定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物资领用</w:t>
            </w:r>
          </w:p>
          <w:p>
            <w:pPr>
              <w:pStyle w:val="8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（含医用耗材、办公耗材）</w:t>
            </w:r>
          </w:p>
        </w:tc>
        <w:tc>
          <w:tcPr>
            <w:tcW w:w="1740" w:type="dxa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各科室</w:t>
            </w:r>
          </w:p>
        </w:tc>
        <w:tc>
          <w:tcPr>
            <w:tcW w:w="1839" w:type="dxa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3982" w:type="dxa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292" w:lineRule="auto"/>
              <w:ind w:left="111" w:right="221"/>
              <w:rPr>
                <w:sz w:val="20"/>
              </w:rPr>
            </w:pPr>
            <w:r>
              <w:rPr>
                <w:sz w:val="20"/>
              </w:rPr>
              <w:t>申请依据，可根据预期工作量、上年支出等情况确定</w:t>
            </w:r>
          </w:p>
        </w:tc>
      </w:tr>
    </w:tbl>
    <w:p>
      <w:pPr>
        <w:spacing w:line="292" w:lineRule="auto"/>
        <w:rPr>
          <w:sz w:val="20"/>
        </w:rPr>
        <w:sectPr>
          <w:pgSz w:w="16840" w:h="11910" w:orient="landscape"/>
          <w:pgMar w:top="1100" w:right="1020" w:bottom="1380" w:left="1020" w:header="0" w:footer="1193" w:gutter="0"/>
          <w:cols w:space="720" w:num="1"/>
        </w:sectPr>
      </w:pPr>
    </w:p>
    <w:p>
      <w:pPr>
        <w:pStyle w:val="3"/>
        <w:rPr>
          <w:sz w:val="2"/>
        </w:rPr>
      </w:pPr>
    </w:p>
    <w:tbl>
      <w:tblPr>
        <w:tblStyle w:val="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841"/>
        <w:gridCol w:w="2760"/>
        <w:gridCol w:w="1740"/>
        <w:gridCol w:w="1839"/>
        <w:gridCol w:w="3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单据类别</w:t>
            </w:r>
          </w:p>
        </w:tc>
        <w:tc>
          <w:tcPr>
            <w:tcW w:w="1841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76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958" w:right="9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预算科目</w:t>
            </w:r>
          </w:p>
        </w:tc>
        <w:tc>
          <w:tcPr>
            <w:tcW w:w="1740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编制科室填报</w:t>
            </w:r>
          </w:p>
        </w:tc>
        <w:tc>
          <w:tcPr>
            <w:tcW w:w="1839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归口部门审核</w:t>
            </w:r>
          </w:p>
        </w:tc>
        <w:tc>
          <w:tcPr>
            <w:tcW w:w="3982" w:type="dxa"/>
            <w:shd w:val="clear" w:color="auto" w:fill="FFE699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71" w:right="1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附件要求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04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122"/>
              <w:rPr>
                <w:sz w:val="20"/>
              </w:rPr>
            </w:pPr>
            <w:r>
              <w:rPr>
                <w:sz w:val="20"/>
              </w:rPr>
              <w:t>设备及资产采购预算</w:t>
            </w:r>
          </w:p>
        </w:tc>
        <w:tc>
          <w:tcPr>
            <w:tcW w:w="1841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3"/>
              </w:rPr>
            </w:pPr>
          </w:p>
          <w:p>
            <w:pPr>
              <w:pStyle w:val="8"/>
              <w:ind w:left="173"/>
              <w:rPr>
                <w:sz w:val="20"/>
              </w:rPr>
            </w:pPr>
            <w:r>
              <w:rPr>
                <w:sz w:val="20"/>
              </w:rPr>
              <w:t>院经费运行-公用</w:t>
            </w: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固定资产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各科室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398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8"/>
              <w:ind w:left="111"/>
              <w:rPr>
                <w:sz w:val="20"/>
              </w:rPr>
            </w:pPr>
            <w:r>
              <w:rPr>
                <w:sz w:val="20"/>
              </w:rPr>
              <w:t>申请依据，投入产出等数据。大于等于 5</w:t>
            </w:r>
          </w:p>
          <w:p>
            <w:pPr>
              <w:pStyle w:val="8"/>
              <w:spacing w:before="56"/>
              <w:ind w:left="111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万元的</w:t>
            </w:r>
            <w:r>
              <w:rPr>
                <w:rFonts w:hint="eastAsia"/>
                <w:sz w:val="20"/>
                <w:lang w:val="en-US" w:eastAsia="zh-CN"/>
              </w:rPr>
              <w:t>新增资产配置</w:t>
            </w:r>
            <w:r>
              <w:rPr>
                <w:sz w:val="20"/>
              </w:rPr>
              <w:t>预算</w:t>
            </w:r>
            <w:r>
              <w:rPr>
                <w:rFonts w:hint="eastAsia"/>
                <w:sz w:val="20"/>
                <w:lang w:eastAsia="zh-CN"/>
              </w:rPr>
              <w:t>，</w:t>
            </w:r>
            <w:r>
              <w:rPr>
                <w:sz w:val="20"/>
              </w:rPr>
              <w:t>需要单独提交</w:t>
            </w:r>
            <w:r>
              <w:rPr>
                <w:rFonts w:hint="eastAsia"/>
                <w:sz w:val="20"/>
                <w:lang w:val="en-US" w:eastAsia="zh-CN"/>
              </w:rPr>
              <w:t>预算申报表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无形资产（软件等）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各科室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后勤保障处</w:t>
            </w:r>
          </w:p>
        </w:tc>
        <w:tc>
          <w:tcPr>
            <w:tcW w:w="39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院内-其他项目预算</w:t>
            </w:r>
          </w:p>
        </w:tc>
        <w:tc>
          <w:tcPr>
            <w:tcW w:w="1841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院项目-其他</w:t>
            </w:r>
          </w:p>
        </w:tc>
        <w:tc>
          <w:tcPr>
            <w:tcW w:w="2760" w:type="dxa"/>
          </w:tcPr>
          <w:p>
            <w:pPr>
              <w:pStyle w:val="8"/>
              <w:spacing w:before="4" w:line="312" w:lineRule="exact"/>
              <w:ind w:left="108" w:right="242"/>
              <w:rPr>
                <w:sz w:val="20"/>
              </w:rPr>
            </w:pPr>
            <w:r>
              <w:rPr>
                <w:sz w:val="20"/>
              </w:rPr>
              <w:t>纪检监察经费、关工委经费等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相关科室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各经费归口部门</w:t>
            </w:r>
          </w:p>
        </w:tc>
        <w:tc>
          <w:tcPr>
            <w:tcW w:w="3982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sz w:val="20"/>
              </w:rPr>
              <w:t>申请依据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4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23"/>
              </w:rPr>
            </w:pPr>
          </w:p>
          <w:p>
            <w:pPr>
              <w:pStyle w:val="8"/>
              <w:ind w:left="621"/>
              <w:rPr>
                <w:sz w:val="20"/>
              </w:rPr>
            </w:pPr>
            <w:r>
              <w:rPr>
                <w:sz w:val="20"/>
              </w:rPr>
              <w:t>收入预算</w:t>
            </w:r>
          </w:p>
        </w:tc>
        <w:tc>
          <w:tcPr>
            <w:tcW w:w="1841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收入事项-医疗</w:t>
            </w:r>
          </w:p>
        </w:tc>
        <w:tc>
          <w:tcPr>
            <w:tcW w:w="2760" w:type="dxa"/>
          </w:tcPr>
          <w:p>
            <w:pPr>
              <w:pStyle w:val="8"/>
              <w:spacing w:before="4" w:line="312" w:lineRule="exact"/>
              <w:ind w:left="108" w:right="441"/>
              <w:rPr>
                <w:sz w:val="20"/>
              </w:rPr>
            </w:pPr>
            <w:r>
              <w:rPr>
                <w:sz w:val="20"/>
              </w:rPr>
              <w:t>医疗收入（门诊、住院收入）、药品收入</w:t>
            </w:r>
          </w:p>
        </w:tc>
        <w:tc>
          <w:tcPr>
            <w:tcW w:w="174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医务处</w:t>
            </w:r>
          </w:p>
        </w:tc>
        <w:tc>
          <w:tcPr>
            <w:tcW w:w="1839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医务处</w:t>
            </w:r>
          </w:p>
        </w:tc>
        <w:tc>
          <w:tcPr>
            <w:tcW w:w="3982" w:type="dxa"/>
          </w:tcPr>
          <w:p>
            <w:pPr>
              <w:pStyle w:val="8"/>
              <w:spacing w:before="4" w:line="312" w:lineRule="exact"/>
              <w:ind w:left="111" w:right="221"/>
              <w:rPr>
                <w:sz w:val="20"/>
              </w:rPr>
            </w:pPr>
            <w:r>
              <w:rPr>
                <w:sz w:val="20"/>
              </w:rPr>
              <w:t>申请依据，可根据工作量、预期开展新业务等情况确定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收入事项-其他</w:t>
            </w:r>
          </w:p>
        </w:tc>
        <w:tc>
          <w:tcPr>
            <w:tcW w:w="2760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1740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相关科室</w:t>
            </w:r>
          </w:p>
        </w:tc>
        <w:tc>
          <w:tcPr>
            <w:tcW w:w="1839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各经费归口部门</w:t>
            </w:r>
          </w:p>
        </w:tc>
        <w:tc>
          <w:tcPr>
            <w:tcW w:w="3982" w:type="dxa"/>
          </w:tcPr>
          <w:p>
            <w:pPr>
              <w:pStyle w:val="8"/>
              <w:spacing w:before="2"/>
              <w:rPr>
                <w:sz w:val="16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sz w:val="20"/>
              </w:rPr>
              <w:t>申请依据，根据业务情况确定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4"/>
        </w:rPr>
      </w:pPr>
    </w:p>
    <w:p>
      <w:pPr>
        <w:pStyle w:val="7"/>
        <w:numPr>
          <w:ilvl w:val="0"/>
          <w:numId w:val="1"/>
        </w:numPr>
        <w:tabs>
          <w:tab w:val="left" w:pos="1026"/>
        </w:tabs>
        <w:spacing w:before="62"/>
        <w:ind w:hanging="354"/>
        <w:rPr>
          <w:sz w:val="28"/>
        </w:rPr>
      </w:pPr>
      <w:r>
        <w:rPr>
          <w:spacing w:val="-1"/>
          <w:sz w:val="28"/>
        </w:rPr>
        <w:t>附件要求：</w:t>
      </w:r>
    </w:p>
    <w:p>
      <w:pPr>
        <w:pStyle w:val="7"/>
        <w:numPr>
          <w:ilvl w:val="0"/>
          <w:numId w:val="2"/>
        </w:numPr>
        <w:tabs>
          <w:tab w:val="left" w:pos="1099"/>
        </w:tabs>
        <w:spacing w:before="265"/>
        <w:ind w:left="1146" w:leftChars="0" w:hanging="706" w:firstLineChars="0"/>
        <w:jc w:val="left"/>
        <w:rPr>
          <w:sz w:val="28"/>
        </w:rPr>
      </w:pPr>
      <w:r>
        <w:rPr>
          <w:spacing w:val="-2"/>
          <w:sz w:val="28"/>
        </w:rPr>
        <w:t>日常基本经费预算</w:t>
      </w:r>
    </w:p>
    <w:p>
      <w:pPr>
        <w:pStyle w:val="3"/>
        <w:spacing w:before="265"/>
        <w:ind w:left="672"/>
      </w:pPr>
      <w:r>
        <w:t>各科室根据合理科学的测算，对物资领用进行预算，并详述预算依据。</w:t>
      </w:r>
    </w:p>
    <w:p>
      <w:pPr>
        <w:pStyle w:val="3"/>
        <w:spacing w:before="9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672"/>
        <w:textAlignment w:val="auto"/>
      </w:pPr>
      <w:r>
        <w:t>各经费归口部门（职能处室）需采用科学预算方法，对归口负责的经费进行预算，并详述预算依据。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112" w:right="109" w:firstLine="559"/>
        <w:jc w:val="both"/>
        <w:textAlignment w:val="auto"/>
        <w:rPr>
          <w:rFonts w:hint="eastAsia"/>
          <w:b w:val="0"/>
          <w:bCs/>
          <w:sz w:val="28"/>
          <w:highlight w:val="none"/>
          <w:lang w:eastAsia="zh-CN"/>
        </w:rPr>
      </w:pPr>
      <w:r>
        <w:rPr>
          <w:rFonts w:hint="eastAsia"/>
          <w:b/>
          <w:bCs/>
        </w:rPr>
        <w:t>修缮项目预算在</w:t>
      </w:r>
      <w:r>
        <w:rPr>
          <w:rFonts w:hint="eastAsia"/>
          <w:b/>
          <w:bCs/>
          <w:lang w:val="en-US"/>
        </w:rPr>
        <w:t>10万元及以上的，</w:t>
      </w:r>
      <w:r>
        <w:rPr>
          <w:rFonts w:hint="eastAsia"/>
          <w:b/>
          <w:bCs/>
        </w:rPr>
        <w:t>需提交预算申报表（修缮），</w:t>
      </w:r>
      <w:r>
        <w:rPr>
          <w:rFonts w:hint="eastAsia"/>
          <w:b/>
          <w:bCs/>
          <w:lang w:val="en-US" w:eastAsia="zh-CN"/>
        </w:rPr>
        <w:t>由计财处组织</w:t>
      </w:r>
      <w:r>
        <w:rPr>
          <w:rFonts w:hint="eastAsia"/>
          <w:b/>
          <w:bCs/>
        </w:rPr>
        <w:t>专家</w:t>
      </w:r>
      <w:r>
        <w:rPr>
          <w:rFonts w:hint="eastAsia"/>
          <w:b/>
          <w:bCs/>
          <w:lang w:val="en-US" w:eastAsia="zh-CN"/>
        </w:rPr>
        <w:t>集中评审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 w:val="0"/>
          <w:bCs/>
          <w:sz w:val="28"/>
          <w:highlight w:val="none"/>
          <w:lang w:eastAsia="zh-CN"/>
        </w:rPr>
        <w:t>预算申报表</w:t>
      </w:r>
      <w:r>
        <w:rPr>
          <w:rFonts w:hint="eastAsia"/>
          <w:sz w:val="28"/>
          <w:highlight w:val="none"/>
        </w:rPr>
        <w:t>内容包括</w:t>
      </w:r>
      <w:r>
        <w:rPr>
          <w:rFonts w:hint="eastAsia"/>
          <w:sz w:val="28"/>
          <w:highlight w:val="none"/>
          <w:lang w:eastAsia="zh-CN"/>
        </w:rPr>
        <w:t>申请理由及主要内容、总体目标及分阶段实施计划、实施准备条件、绩效考评情况、绩效</w:t>
      </w:r>
      <w:r>
        <w:rPr>
          <w:rFonts w:hint="eastAsia"/>
          <w:b w:val="0"/>
          <w:bCs/>
          <w:sz w:val="28"/>
          <w:highlight w:val="none"/>
          <w:lang w:eastAsia="zh-CN"/>
        </w:rPr>
        <w:t>目标等。预算管理委员会定期对项目追踪问效。（申报书样表在官网-计财处-办公指南下载）。</w:t>
      </w:r>
    </w:p>
    <w:p>
      <w:pPr>
        <w:pStyle w:val="7"/>
        <w:numPr>
          <w:ilvl w:val="0"/>
          <w:numId w:val="2"/>
        </w:numPr>
        <w:tabs>
          <w:tab w:val="left" w:pos="1099"/>
        </w:tabs>
        <w:ind w:left="1146" w:leftChars="0" w:hanging="706" w:firstLineChars="0"/>
        <w:jc w:val="left"/>
        <w:rPr>
          <w:sz w:val="28"/>
        </w:rPr>
      </w:pPr>
      <w:r>
        <w:rPr>
          <w:spacing w:val="-2"/>
          <w:sz w:val="28"/>
        </w:rPr>
        <w:t>设备及资产采购预算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66" w:line="418" w:lineRule="auto"/>
        <w:ind w:left="672"/>
        <w:textAlignment w:val="auto"/>
      </w:pPr>
      <w:r>
        <w:t>设备及资产预算范围是固定资产、无形资产、图书类。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112" w:right="109" w:firstLine="559"/>
        <w:jc w:val="both"/>
        <w:textAlignment w:val="auto"/>
        <w:rPr>
          <w:spacing w:val="-19"/>
        </w:rPr>
      </w:pPr>
      <w:r>
        <w:rPr>
          <w:spacing w:val="-19"/>
        </w:rPr>
        <w:t>固定资产是指使用年限超过 1 年（不含 1 年）、单位价值在规定标准以上，并在使用过程中基本保持原有物质形态的资产。固定资产分为房屋及建筑物，专用设备，通用设备，家具、用具及装具四类。其中专用设备是指单价 1500 元以上（含 1500 元）的专业医疗设备。通用设备，家具、用具及装具是指单价 1000</w:t>
      </w:r>
      <w:bookmarkStart w:id="0" w:name="_GoBack"/>
      <w:bookmarkEnd w:id="0"/>
      <w:r>
        <w:rPr>
          <w:spacing w:val="-19"/>
        </w:rPr>
        <w:t xml:space="preserve"> 元以上（含 1000 元）的办公设备、家具等。无形资产是指没有实物形态的可辨认非货币性资产，如软件、土地使用权等。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112" w:right="109" w:firstLine="559"/>
        <w:jc w:val="both"/>
        <w:textAlignment w:val="auto"/>
        <w:rPr>
          <w:rFonts w:hint="eastAsia"/>
          <w:b w:val="0"/>
          <w:bCs/>
          <w:sz w:val="28"/>
          <w:highlight w:val="none"/>
          <w:lang w:eastAsia="zh-CN"/>
        </w:rPr>
      </w:pPr>
      <w:r>
        <w:rPr>
          <w:b/>
          <w:bCs/>
          <w:spacing w:val="-19"/>
        </w:rPr>
        <w:t xml:space="preserve">申请 </w:t>
      </w:r>
      <w:r>
        <w:rPr>
          <w:rFonts w:ascii="Calibri" w:eastAsia="Calibri"/>
          <w:b/>
          <w:bCs/>
        </w:rPr>
        <w:t xml:space="preserve">5 </w:t>
      </w:r>
      <w:r>
        <w:rPr>
          <w:b/>
          <w:bCs/>
          <w:spacing w:val="-19"/>
        </w:rPr>
        <w:t>万元及以上的固定资产、无形资产、图书类</w:t>
      </w:r>
      <w:r>
        <w:rPr>
          <w:rFonts w:hint="eastAsia"/>
          <w:b/>
          <w:bCs/>
          <w:spacing w:val="-19"/>
          <w:lang w:val="en-US" w:eastAsia="zh-CN"/>
        </w:rPr>
        <w:t>等新增资产配置</w:t>
      </w:r>
      <w:r>
        <w:rPr>
          <w:b/>
          <w:bCs/>
          <w:spacing w:val="-19"/>
        </w:rPr>
        <w:t>预算</w:t>
      </w:r>
      <w:r>
        <w:rPr>
          <w:rFonts w:hint="eastAsia"/>
          <w:b/>
          <w:bCs/>
          <w:spacing w:val="-19"/>
          <w:lang w:eastAsia="zh-CN"/>
        </w:rPr>
        <w:t>，</w:t>
      </w:r>
      <w:r>
        <w:rPr>
          <w:b/>
          <w:bCs/>
          <w:spacing w:val="-19"/>
        </w:rPr>
        <w:t>需单独提交</w:t>
      </w:r>
      <w:r>
        <w:rPr>
          <w:rFonts w:hint="eastAsia"/>
          <w:b/>
          <w:bCs/>
          <w:spacing w:val="-19"/>
          <w:lang w:val="en-US" w:eastAsia="zh-CN"/>
        </w:rPr>
        <w:t>预算申报表，由计财处组织专家集中评审</w:t>
      </w:r>
      <w:r>
        <w:rPr>
          <w:b/>
          <w:bCs/>
          <w:spacing w:val="-19"/>
        </w:rPr>
        <w:t>。</w:t>
      </w:r>
      <w:r>
        <w:rPr>
          <w:rFonts w:hint="eastAsia"/>
          <w:b w:val="0"/>
          <w:bCs/>
          <w:sz w:val="28"/>
          <w:highlight w:val="none"/>
          <w:lang w:eastAsia="zh-CN"/>
        </w:rPr>
        <w:t>预算申报表</w:t>
      </w:r>
      <w:r>
        <w:rPr>
          <w:rFonts w:hint="eastAsia"/>
          <w:sz w:val="28"/>
          <w:highlight w:val="none"/>
        </w:rPr>
        <w:t>内容包括</w:t>
      </w:r>
      <w:r>
        <w:rPr>
          <w:rFonts w:hint="eastAsia"/>
          <w:sz w:val="28"/>
          <w:highlight w:val="none"/>
          <w:lang w:eastAsia="zh-CN"/>
        </w:rPr>
        <w:t>申请理由及主要内容、总体目标及分阶段实施计划、实施准备条件、绩效考评情况、绩效</w:t>
      </w:r>
      <w:r>
        <w:rPr>
          <w:rFonts w:hint="eastAsia"/>
          <w:b w:val="0"/>
          <w:bCs/>
          <w:sz w:val="28"/>
          <w:highlight w:val="none"/>
          <w:lang w:eastAsia="zh-CN"/>
        </w:rPr>
        <w:t>目标等。预算管理委员会定期对项目追踪问效。（申报书样表在官网-计财处-办公指南下载）。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58" w:lineRule="exact"/>
        <w:ind w:left="1423" w:leftChars="0" w:hanging="703" w:firstLineChars="0"/>
        <w:jc w:val="left"/>
        <w:textAlignment w:val="auto"/>
        <w:rPr>
          <w:sz w:val="28"/>
        </w:rPr>
      </w:pPr>
      <w:r>
        <w:rPr>
          <w:sz w:val="28"/>
        </w:rPr>
        <w:t>院内</w:t>
      </w:r>
      <w:r>
        <w:rPr>
          <w:rFonts w:ascii="Calibri" w:eastAsia="Calibri"/>
          <w:sz w:val="28"/>
        </w:rPr>
        <w:t>-</w:t>
      </w:r>
      <w:r>
        <w:rPr>
          <w:spacing w:val="-1"/>
          <w:sz w:val="28"/>
        </w:rPr>
        <w:t>其他项目预算</w:t>
      </w:r>
    </w:p>
    <w:p>
      <w:pPr>
        <w:pStyle w:val="3"/>
        <w:spacing w:before="265"/>
        <w:ind w:left="672"/>
      </w:pPr>
      <w:r>
        <w:t>各项目经费需采用科学预算方法，对项目经费进行预算，并详述预算依据。</w:t>
      </w:r>
    </w:p>
    <w:p>
      <w:pPr>
        <w:pStyle w:val="3"/>
        <w:spacing w:before="9"/>
        <w:rPr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238"/>
        </w:tabs>
        <w:ind w:left="1285" w:leftChars="0" w:firstLineChars="0"/>
        <w:jc w:val="left"/>
        <w:rPr>
          <w:sz w:val="28"/>
        </w:rPr>
      </w:pPr>
      <w:r>
        <w:rPr>
          <w:spacing w:val="-1"/>
          <w:sz w:val="28"/>
        </w:rPr>
        <w:t>收入预算</w:t>
      </w:r>
    </w:p>
    <w:p>
      <w:pPr>
        <w:pStyle w:val="3"/>
        <w:spacing w:before="266" w:line="417" w:lineRule="auto"/>
        <w:ind w:left="112" w:right="110" w:firstLine="559"/>
      </w:pPr>
      <w:r>
        <w:t>医疗收入预算由医务处编制，需提供编制依据。科教项目收入、其他收入由相关归口部门编制，财政补助收入由计财处编制。</w:t>
      </w:r>
    </w:p>
    <w:p>
      <w:pPr>
        <w:spacing w:line="417" w:lineRule="auto"/>
        <w:sectPr>
          <w:pgSz w:w="16840" w:h="11910" w:orient="landscape"/>
          <w:pgMar w:top="1100" w:right="1020" w:bottom="1380" w:left="1020" w:header="0" w:footer="1193" w:gutter="0"/>
          <w:cols w:space="720" w:num="1"/>
        </w:sectPr>
      </w:pPr>
    </w:p>
    <w:p>
      <w:pPr>
        <w:pStyle w:val="2"/>
        <w:tabs>
          <w:tab w:val="left" w:pos="953"/>
        </w:tabs>
        <w:spacing w:before="159"/>
        <w:rPr>
          <w:u w:val="none"/>
        </w:rPr>
      </w:pPr>
      <w:r>
        <w:rPr>
          <w:u w:val="none"/>
        </w:rPr>
        <w:t>三、</w:t>
      </w:r>
      <w:r>
        <w:rPr>
          <w:u w:val="none"/>
        </w:rPr>
        <w:tab/>
      </w:r>
      <w:r>
        <w:rPr>
          <w:u w:val="none"/>
        </w:rPr>
        <w:t>申报方式和截止日期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spacing w:line="417" w:lineRule="auto"/>
        <w:ind w:left="112" w:right="121" w:firstLine="566"/>
      </w:pPr>
      <w:r>
        <w:rPr>
          <w:rFonts w:ascii="Calibri" w:hAnsi="Calibri" w:eastAsia="Calibri"/>
        </w:rPr>
        <w:t>202</w:t>
      </w:r>
      <w:r>
        <w:rPr>
          <w:rFonts w:ascii="Calibri" w:hAnsi="Calibri" w:eastAsiaTheme="minorEastAsia"/>
        </w:rPr>
        <w:t>2</w:t>
      </w:r>
      <w:r>
        <w:rPr>
          <w:rFonts w:ascii="Calibri" w:hAnsi="Calibri" w:eastAsia="Calibri"/>
        </w:rPr>
        <w:t xml:space="preserve"> </w:t>
      </w:r>
      <w:r>
        <w:rPr>
          <w:spacing w:val="-3"/>
        </w:rPr>
        <w:t>年度医院经费预算申报继续采取</w:t>
      </w:r>
      <w:r>
        <w:rPr>
          <w:b/>
        </w:rPr>
        <w:t>网上申报</w:t>
      </w:r>
      <w:r>
        <w:rPr>
          <w:spacing w:val="-3"/>
        </w:rPr>
        <w:t>形式，请各科室预算管理员登录“财务信息一体化平台”——“预算管理”模块，进入“预算编制（</w:t>
      </w:r>
      <w:r>
        <w:rPr>
          <w:spacing w:val="-2"/>
        </w:rPr>
        <w:t>一上</w:t>
      </w:r>
      <w:r>
        <w:rPr>
          <w:spacing w:val="-140"/>
        </w:rPr>
        <w:t>）</w:t>
      </w:r>
      <w:r>
        <w:rPr>
          <w:spacing w:val="-3"/>
        </w:rPr>
        <w:t>”和“预算编制</w:t>
      </w:r>
      <w:r>
        <w:t>（</w:t>
      </w:r>
      <w:r>
        <w:rPr>
          <w:spacing w:val="-2"/>
        </w:rPr>
        <w:t>二上</w:t>
      </w:r>
      <w:r>
        <w:rPr>
          <w:spacing w:val="-140"/>
        </w:rPr>
        <w:t>）</w:t>
      </w:r>
      <w:r>
        <w:rPr>
          <w:spacing w:val="-3"/>
        </w:rPr>
        <w:t>”填报。并在填报同时，将各项预算要求的附件对应上传（预算申请依据、</w:t>
      </w:r>
      <w:r>
        <w:rPr>
          <w:rFonts w:hint="eastAsia"/>
          <w:spacing w:val="-3"/>
          <w:highlight w:val="none"/>
        </w:rPr>
        <w:t>新增资产配置</w:t>
      </w:r>
      <w:r>
        <w:rPr>
          <w:rFonts w:hint="eastAsia"/>
          <w:spacing w:val="-3"/>
          <w:highlight w:val="none"/>
          <w:lang w:val="en-US" w:eastAsia="zh-CN"/>
        </w:rPr>
        <w:t>预算</w:t>
      </w:r>
      <w:r>
        <w:rPr>
          <w:rFonts w:hint="eastAsia"/>
          <w:spacing w:val="-3"/>
          <w:highlight w:val="none"/>
        </w:rPr>
        <w:t>5万元以上、修缮项目</w:t>
      </w:r>
      <w:r>
        <w:rPr>
          <w:rFonts w:hint="eastAsia"/>
          <w:spacing w:val="-3"/>
          <w:highlight w:val="none"/>
          <w:lang w:val="en-US" w:eastAsia="zh-CN"/>
        </w:rPr>
        <w:t>预算</w:t>
      </w:r>
      <w:r>
        <w:rPr>
          <w:rFonts w:hint="eastAsia"/>
          <w:spacing w:val="-3"/>
          <w:highlight w:val="none"/>
        </w:rPr>
        <w:t>1</w:t>
      </w:r>
      <w:r>
        <w:rPr>
          <w:spacing w:val="-3"/>
          <w:highlight w:val="none"/>
        </w:rPr>
        <w:t>0</w:t>
      </w:r>
      <w:r>
        <w:rPr>
          <w:rFonts w:hint="eastAsia"/>
          <w:spacing w:val="-3"/>
          <w:highlight w:val="none"/>
        </w:rPr>
        <w:t>万元以上，提供预算申报表</w:t>
      </w:r>
      <w:r>
        <w:rPr>
          <w:spacing w:val="-140"/>
          <w:highlight w:val="none"/>
        </w:rPr>
        <w:t>）。</w:t>
      </w:r>
    </w:p>
    <w:p>
      <w:pPr>
        <w:pStyle w:val="3"/>
        <w:ind w:left="679"/>
      </w:pPr>
      <w:r>
        <w:t>各科室预算申报、归口部门审批等截止时间如下表，若过期未提交，</w:t>
      </w:r>
      <w:r>
        <w:rPr>
          <w:rFonts w:ascii="Calibri" w:eastAsia="Calibri"/>
        </w:rPr>
        <w:t>202</w:t>
      </w:r>
      <w:r>
        <w:rPr>
          <w:rFonts w:ascii="Calibri" w:eastAsiaTheme="minorEastAsia"/>
        </w:rPr>
        <w:t>2</w:t>
      </w:r>
      <w:r>
        <w:rPr>
          <w:rFonts w:ascii="Calibri" w:eastAsia="Calibri"/>
        </w:rPr>
        <w:t xml:space="preserve"> </w:t>
      </w:r>
      <w:r>
        <w:t>年将没有预算安排。</w:t>
      </w:r>
    </w:p>
    <w:p>
      <w:pPr>
        <w:pStyle w:val="3"/>
        <w:spacing w:before="4" w:after="1"/>
        <w:rPr>
          <w:sz w:val="10"/>
        </w:rPr>
      </w:pPr>
    </w:p>
    <w:tbl>
      <w:tblPr>
        <w:tblStyle w:val="6"/>
        <w:tblW w:w="0" w:type="auto"/>
        <w:tblInd w:w="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3906"/>
        <w:gridCol w:w="3260"/>
        <w:gridCol w:w="3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33" w:type="dxa"/>
          </w:tcPr>
          <w:p>
            <w:pPr>
              <w:pStyle w:val="8"/>
              <w:spacing w:before="69"/>
              <w:ind w:left="306" w:right="29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906" w:type="dxa"/>
          </w:tcPr>
          <w:p>
            <w:pPr>
              <w:pStyle w:val="8"/>
              <w:spacing w:before="69"/>
              <w:ind w:left="1450" w:right="1445"/>
              <w:jc w:val="center"/>
              <w:rPr>
                <w:sz w:val="24"/>
              </w:rPr>
            </w:pPr>
            <w:r>
              <w:rPr>
                <w:sz w:val="24"/>
              </w:rPr>
              <w:t>执行部门</w:t>
            </w:r>
          </w:p>
        </w:tc>
        <w:tc>
          <w:tcPr>
            <w:tcW w:w="3260" w:type="dxa"/>
          </w:tcPr>
          <w:p>
            <w:pPr>
              <w:pStyle w:val="8"/>
              <w:spacing w:before="69"/>
              <w:ind w:left="1368" w:right="1361"/>
              <w:jc w:val="center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121" w:type="dxa"/>
          </w:tcPr>
          <w:p>
            <w:pPr>
              <w:pStyle w:val="8"/>
              <w:spacing w:before="69"/>
              <w:ind w:left="718"/>
              <w:rPr>
                <w:sz w:val="24"/>
              </w:rPr>
            </w:pPr>
            <w:r>
              <w:rPr>
                <w:sz w:val="24"/>
              </w:rPr>
              <w:t>申报、下达时间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1</w:t>
            </w:r>
          </w:p>
        </w:tc>
        <w:tc>
          <w:tcPr>
            <w:tcW w:w="3906" w:type="dxa"/>
          </w:tcPr>
          <w:p>
            <w:pPr>
              <w:pStyle w:val="8"/>
              <w:spacing w:before="72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各科室/职能处室（归口部门）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2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预算编制（一上）</w:t>
            </w:r>
          </w:p>
        </w:tc>
        <w:tc>
          <w:tcPr>
            <w:tcW w:w="3121" w:type="dxa"/>
          </w:tcPr>
          <w:p>
            <w:pPr>
              <w:pStyle w:val="8"/>
              <w:spacing w:before="72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2021.10.22-10.29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</w:t>
            </w:r>
          </w:p>
        </w:tc>
        <w:tc>
          <w:tcPr>
            <w:tcW w:w="3906" w:type="dxa"/>
          </w:tcPr>
          <w:p>
            <w:pPr>
              <w:pStyle w:val="8"/>
              <w:spacing w:before="74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4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预算审批（一上）</w:t>
            </w:r>
          </w:p>
        </w:tc>
        <w:tc>
          <w:tcPr>
            <w:tcW w:w="3121" w:type="dxa"/>
          </w:tcPr>
          <w:p>
            <w:pPr>
              <w:pStyle w:val="8"/>
              <w:spacing w:before="74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2021.11.1-11.3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3</w:t>
            </w:r>
          </w:p>
        </w:tc>
        <w:tc>
          <w:tcPr>
            <w:tcW w:w="3906" w:type="dxa"/>
          </w:tcPr>
          <w:p>
            <w:pPr>
              <w:pStyle w:val="8"/>
              <w:spacing w:before="74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财务部门、职能处室（归口部门）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4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预算下达（一下）</w:t>
            </w:r>
          </w:p>
        </w:tc>
        <w:tc>
          <w:tcPr>
            <w:tcW w:w="3121" w:type="dxa"/>
          </w:tcPr>
          <w:p>
            <w:pPr>
              <w:pStyle w:val="8"/>
              <w:spacing w:before="74"/>
              <w:ind w:left="108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2021.11.4-11.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4</w:t>
            </w:r>
          </w:p>
        </w:tc>
        <w:tc>
          <w:tcPr>
            <w:tcW w:w="3906" w:type="dxa"/>
          </w:tcPr>
          <w:p>
            <w:pPr>
              <w:pStyle w:val="8"/>
              <w:spacing w:before="72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各科室/职能处室（归口部门）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2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预算编制（二上）</w:t>
            </w:r>
          </w:p>
        </w:tc>
        <w:tc>
          <w:tcPr>
            <w:tcW w:w="3121" w:type="dxa"/>
          </w:tcPr>
          <w:p>
            <w:pPr>
              <w:pStyle w:val="8"/>
              <w:spacing w:before="72"/>
              <w:ind w:left="108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2021.11.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12</w:t>
            </w:r>
            <w:r>
              <w:rPr>
                <w:sz w:val="24"/>
                <w:highlight w:val="none"/>
              </w:rPr>
              <w:t>-11.1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5</w:t>
            </w:r>
          </w:p>
        </w:tc>
        <w:tc>
          <w:tcPr>
            <w:tcW w:w="3906" w:type="dxa"/>
          </w:tcPr>
          <w:p>
            <w:pPr>
              <w:pStyle w:val="8"/>
              <w:spacing w:before="74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4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预算审批（二上）</w:t>
            </w:r>
          </w:p>
        </w:tc>
        <w:tc>
          <w:tcPr>
            <w:tcW w:w="3121" w:type="dxa"/>
          </w:tcPr>
          <w:p>
            <w:pPr>
              <w:pStyle w:val="8"/>
              <w:spacing w:before="74"/>
              <w:ind w:left="108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sz w:val="24"/>
                <w:highlight w:val="none"/>
              </w:rPr>
              <w:t>2021.11.1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7</w:t>
            </w:r>
            <w:r>
              <w:rPr>
                <w:sz w:val="24"/>
                <w:highlight w:val="none"/>
              </w:rPr>
              <w:t>-11.1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6</w:t>
            </w:r>
          </w:p>
        </w:tc>
        <w:tc>
          <w:tcPr>
            <w:tcW w:w="3906" w:type="dxa"/>
          </w:tcPr>
          <w:p>
            <w:pPr>
              <w:pStyle w:val="8"/>
              <w:spacing w:before="74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预算管理委员会</w:t>
            </w:r>
          </w:p>
        </w:tc>
        <w:tc>
          <w:tcPr>
            <w:tcW w:w="3260" w:type="dxa"/>
          </w:tcPr>
          <w:p>
            <w:pPr>
              <w:pStyle w:val="8"/>
              <w:spacing w:before="74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讨论、审核、汇总平衡</w:t>
            </w:r>
          </w:p>
        </w:tc>
        <w:tc>
          <w:tcPr>
            <w:tcW w:w="3121" w:type="dxa"/>
          </w:tcPr>
          <w:p>
            <w:pPr>
              <w:pStyle w:val="8"/>
              <w:spacing w:before="74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2021.11.2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6</w:t>
            </w:r>
            <w:r>
              <w:rPr>
                <w:sz w:val="24"/>
                <w:highlight w:val="none"/>
              </w:rPr>
              <w:t xml:space="preserve"> 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7</w:t>
            </w:r>
          </w:p>
        </w:tc>
        <w:tc>
          <w:tcPr>
            <w:tcW w:w="3906" w:type="dxa"/>
          </w:tcPr>
          <w:p>
            <w:pPr>
              <w:pStyle w:val="8"/>
              <w:spacing w:before="72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院长办公会及党委会</w:t>
            </w:r>
          </w:p>
        </w:tc>
        <w:tc>
          <w:tcPr>
            <w:tcW w:w="3260" w:type="dxa"/>
          </w:tcPr>
          <w:p>
            <w:pPr>
              <w:pStyle w:val="8"/>
              <w:spacing w:before="72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审批</w:t>
            </w:r>
          </w:p>
        </w:tc>
        <w:tc>
          <w:tcPr>
            <w:tcW w:w="3121" w:type="dxa"/>
          </w:tcPr>
          <w:p>
            <w:pPr>
              <w:pStyle w:val="8"/>
              <w:spacing w:before="72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3" w:type="dxa"/>
          </w:tcPr>
          <w:p>
            <w:pPr>
              <w:pStyle w:val="8"/>
              <w:spacing w:before="74"/>
              <w:ind w:left="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8</w:t>
            </w:r>
          </w:p>
        </w:tc>
        <w:tc>
          <w:tcPr>
            <w:tcW w:w="3906" w:type="dxa"/>
          </w:tcPr>
          <w:p>
            <w:pPr>
              <w:pStyle w:val="8"/>
              <w:spacing w:before="74"/>
              <w:ind w:left="107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财务部门、职能处室（归口部门）</w:t>
            </w:r>
          </w:p>
        </w:tc>
        <w:tc>
          <w:tcPr>
            <w:tcW w:w="3260" w:type="dxa"/>
          </w:tcPr>
          <w:p>
            <w:pPr>
              <w:pStyle w:val="8"/>
              <w:spacing w:before="74"/>
              <w:ind w:left="106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预算下达（二下）</w:t>
            </w:r>
          </w:p>
        </w:tc>
        <w:tc>
          <w:tcPr>
            <w:tcW w:w="3121" w:type="dxa"/>
          </w:tcPr>
          <w:p>
            <w:pPr>
              <w:pStyle w:val="8"/>
              <w:spacing w:before="74"/>
              <w:ind w:left="108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2022.1.2 以后</w:t>
            </w:r>
          </w:p>
        </w:tc>
      </w:tr>
    </w:tbl>
    <w:p>
      <w:pPr>
        <w:pStyle w:val="3"/>
        <w:spacing w:before="133"/>
        <w:ind w:left="672"/>
        <w:rPr>
          <w:highlight w:val="none"/>
        </w:rPr>
      </w:pPr>
      <w:r>
        <w:rPr>
          <w:highlight w:val="none"/>
        </w:rPr>
        <w:t>本通知及电子版项目申报书等资料请到我院“计财处</w:t>
      </w:r>
      <w:r>
        <w:rPr>
          <w:rFonts w:ascii="Calibri" w:hAnsi="Calibri" w:eastAsia="Calibri"/>
          <w:highlight w:val="none"/>
        </w:rPr>
        <w:t>-</w:t>
      </w:r>
      <w:r>
        <w:rPr>
          <w:highlight w:val="none"/>
        </w:rPr>
        <w:t>办公指南”下载。</w:t>
      </w:r>
    </w:p>
    <w:p>
      <w:pPr>
        <w:pStyle w:val="3"/>
        <w:spacing w:before="265"/>
        <w:ind w:left="9475" w:right="2205"/>
        <w:jc w:val="center"/>
        <w:rPr>
          <w:highlight w:val="none"/>
        </w:rPr>
      </w:pPr>
      <w:r>
        <w:rPr>
          <w:highlight w:val="none"/>
        </w:rPr>
        <w:t>北京大学第六医院计财处</w:t>
      </w:r>
    </w:p>
    <w:p>
      <w:pPr>
        <w:pStyle w:val="3"/>
        <w:spacing w:before="9"/>
        <w:rPr>
          <w:sz w:val="20"/>
          <w:highlight w:val="none"/>
        </w:rPr>
      </w:pPr>
    </w:p>
    <w:p>
      <w:pPr>
        <w:pStyle w:val="3"/>
        <w:ind w:left="9475" w:right="2123"/>
        <w:jc w:val="center"/>
      </w:pPr>
      <w:r>
        <w:rPr>
          <w:rFonts w:ascii="Calibri" w:eastAsia="Calibri"/>
          <w:highlight w:val="none"/>
        </w:rPr>
        <w:t>202</w:t>
      </w:r>
      <w:r>
        <w:rPr>
          <w:rFonts w:ascii="Calibri" w:eastAsiaTheme="minorEastAsia"/>
          <w:highlight w:val="none"/>
        </w:rPr>
        <w:t>1</w:t>
      </w:r>
      <w:r>
        <w:rPr>
          <w:rFonts w:ascii="Calibri" w:eastAsia="Calibri"/>
          <w:highlight w:val="none"/>
        </w:rPr>
        <w:t xml:space="preserve"> </w:t>
      </w:r>
      <w:r>
        <w:rPr>
          <w:highlight w:val="none"/>
        </w:rPr>
        <w:t xml:space="preserve">年 </w:t>
      </w:r>
      <w:r>
        <w:rPr>
          <w:rFonts w:ascii="Calibri" w:eastAsia="Calibri"/>
          <w:highlight w:val="none"/>
        </w:rPr>
        <w:t xml:space="preserve">10 </w:t>
      </w:r>
      <w:r>
        <w:rPr>
          <w:highlight w:val="none"/>
        </w:rPr>
        <w:t xml:space="preserve">月 </w:t>
      </w:r>
      <w:r>
        <w:rPr>
          <w:rFonts w:ascii="Calibri" w:eastAsiaTheme="minorEastAsia"/>
          <w:highlight w:val="none"/>
        </w:rPr>
        <w:t>2</w:t>
      </w:r>
      <w:r>
        <w:rPr>
          <w:rFonts w:hint="eastAsia" w:ascii="Calibri" w:eastAsiaTheme="minorEastAsia"/>
          <w:highlight w:val="none"/>
          <w:lang w:val="en-US" w:eastAsia="zh-CN"/>
        </w:rPr>
        <w:t>0</w:t>
      </w:r>
      <w:r>
        <w:rPr>
          <w:rFonts w:ascii="Calibri" w:eastAsia="Calibri"/>
          <w:highlight w:val="none"/>
        </w:rPr>
        <w:t xml:space="preserve"> </w:t>
      </w:r>
      <w:r>
        <w:rPr>
          <w:highlight w:val="none"/>
        </w:rPr>
        <w:t>日</w:t>
      </w:r>
    </w:p>
    <w:sectPr>
      <w:pgSz w:w="16840" w:h="11910" w:orient="landscape"/>
      <w:pgMar w:top="1100" w:right="1020" w:bottom="1380" w:left="1020" w:header="0" w:footer="11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5212080</wp:posOffset>
              </wp:positionH>
              <wp:positionV relativeFrom="page">
                <wp:posOffset>6663055</wp:posOffset>
              </wp:positionV>
              <wp:extent cx="313055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0.4pt;margin-top:524.65pt;height:11pt;width:24.65pt;mso-position-horizontal-relative:page;mso-position-vertical-relative:page;z-index:-251657216;mso-width-relative:page;mso-height-relative:page;" filled="f" stroked="f" coordsize="21600,21600" o:gfxdata="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HgT0NsAAAANAQAADwAAAAAAAAABACAAAAAiAAAAZHJzL2Rvd25y&#10;ZXYueG1sUEsBAhQAFAAAAAgAh07iQKQDsnL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>
                      <w:rPr>
                        <w:rFonts w:ascii="Calibri"/>
                        <w:b/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F54952"/>
    <w:multiLevelType w:val="multilevel"/>
    <w:tmpl w:val="4EF54952"/>
    <w:lvl w:ilvl="0" w:tentative="0">
      <w:start w:val="1"/>
      <w:numFmt w:val="decimal"/>
      <w:lvlText w:val="（%1）"/>
      <w:lvlJc w:val="left"/>
      <w:pPr>
        <w:ind w:left="1146" w:hanging="705"/>
        <w:jc w:val="right"/>
      </w:pPr>
      <w:rPr>
        <w:rFonts w:hint="default" w:ascii="宋体" w:hAnsi="宋体" w:eastAsia="宋体" w:cs="宋体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69" w:hanging="70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39" w:hanging="7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209" w:hanging="7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79" w:hanging="7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949" w:hanging="7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319" w:hanging="7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88" w:hanging="7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58" w:hanging="705"/>
      </w:pPr>
      <w:rPr>
        <w:rFonts w:hint="default"/>
        <w:lang w:val="zh-CN" w:eastAsia="zh-CN" w:bidi="zh-CN"/>
      </w:rPr>
    </w:lvl>
  </w:abstractNum>
  <w:abstractNum w:abstractNumId="1">
    <w:nsid w:val="504D7035"/>
    <w:multiLevelType w:val="multilevel"/>
    <w:tmpl w:val="504D7035"/>
    <w:lvl w:ilvl="0" w:tentative="0">
      <w:start w:val="1"/>
      <w:numFmt w:val="decimal"/>
      <w:lvlText w:val="%1."/>
      <w:lvlJc w:val="left"/>
      <w:pPr>
        <w:ind w:left="1025" w:hanging="353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97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75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53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31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909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87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64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042" w:hanging="35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0"/>
    <w:rsid w:val="00127556"/>
    <w:rsid w:val="00347023"/>
    <w:rsid w:val="003A0120"/>
    <w:rsid w:val="005D5F6D"/>
    <w:rsid w:val="00B7523F"/>
    <w:rsid w:val="00D10D54"/>
    <w:rsid w:val="10FD0C59"/>
    <w:rsid w:val="12023CD5"/>
    <w:rsid w:val="186D30DE"/>
    <w:rsid w:val="1E33355F"/>
    <w:rsid w:val="21C83EAE"/>
    <w:rsid w:val="27822EDA"/>
    <w:rsid w:val="2B3920F5"/>
    <w:rsid w:val="37987C71"/>
    <w:rsid w:val="3AAA79BB"/>
    <w:rsid w:val="3B196A86"/>
    <w:rsid w:val="3B7107B4"/>
    <w:rsid w:val="40034FBC"/>
    <w:rsid w:val="42F81191"/>
    <w:rsid w:val="4A245DCE"/>
    <w:rsid w:val="54904DA5"/>
    <w:rsid w:val="54B77713"/>
    <w:rsid w:val="56C063F2"/>
    <w:rsid w:val="57500DDB"/>
    <w:rsid w:val="6D79708A"/>
    <w:rsid w:val="7FC3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2"/>
      <w:outlineLvl w:val="0"/>
    </w:pPr>
    <w:rPr>
      <w:b/>
      <w:bCs/>
      <w:sz w:val="28"/>
      <w:szCs w:val="28"/>
      <w:u w:val="single" w:color="00000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1025" w:hanging="706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</Words>
  <Characters>2327</Characters>
  <Lines>19</Lines>
  <Paragraphs>5</Paragraphs>
  <TotalTime>199</TotalTime>
  <ScaleCrop>false</ScaleCrop>
  <LinksUpToDate>false</LinksUpToDate>
  <CharactersWithSpaces>2730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2021-10-19T14:56:00Z</dcterms:created>
  <dc:creator>li</dc:creator>
  <cp:lastModifiedBy>Ashley</cp:lastModifiedBy>
  <dcterms:modified xsi:type="dcterms:W3CDTF">2021-10-20T04:53:06Z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751A2020AF474A50A67DB42B7F676CB8</vt:lpwstr>
  </property>
</Properties>
</file>