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CA247" w14:textId="162CCAE9" w:rsidR="003B321E" w:rsidRPr="003B321E" w:rsidRDefault="003B321E">
      <w:pPr>
        <w:rPr>
          <w:rFonts w:ascii="Times New Roman" w:hAnsi="Times New Roman" w:cs="Times New Roman"/>
          <w:b/>
          <w:bCs/>
          <w:sz w:val="28"/>
          <w:szCs w:val="32"/>
        </w:rPr>
      </w:pPr>
      <w:r w:rsidRPr="003B321E">
        <w:rPr>
          <w:rFonts w:ascii="Times New Roman" w:hAnsi="Times New Roman" w:cs="Times New Roman" w:hint="eastAsia"/>
          <w:b/>
          <w:bCs/>
          <w:sz w:val="28"/>
          <w:szCs w:val="32"/>
        </w:rPr>
        <w:t>2</w:t>
      </w:r>
      <w:r w:rsidRPr="003B321E">
        <w:rPr>
          <w:rFonts w:ascii="Times New Roman" w:hAnsi="Times New Roman" w:cs="Times New Roman"/>
          <w:b/>
          <w:bCs/>
          <w:sz w:val="28"/>
          <w:szCs w:val="32"/>
        </w:rPr>
        <w:t>021</w:t>
      </w:r>
      <w:r w:rsidRPr="003B321E">
        <w:rPr>
          <w:rFonts w:ascii="Times New Roman" w:hAnsi="Times New Roman" w:cs="Times New Roman" w:hint="eastAsia"/>
          <w:b/>
          <w:bCs/>
          <w:sz w:val="28"/>
          <w:szCs w:val="32"/>
        </w:rPr>
        <w:t>年</w:t>
      </w:r>
    </w:p>
    <w:p w14:paraId="00D107ED" w14:textId="5CE44781" w:rsidR="00132D76" w:rsidRDefault="008B74D8">
      <w:pPr>
        <w:rPr>
          <w:noProof/>
        </w:rPr>
      </w:pPr>
      <w:r w:rsidRPr="008B74D8">
        <w:rPr>
          <w:rFonts w:ascii="Times New Roman" w:hAnsi="Times New Roman" w:cs="Times New Roman"/>
        </w:rPr>
        <w:t>Z</w:t>
      </w:r>
      <w:r w:rsidR="00DC6116" w:rsidRPr="008B74D8">
        <w:rPr>
          <w:rFonts w:ascii="Times New Roman" w:hAnsi="Times New Roman" w:cs="Times New Roman"/>
          <w:noProof/>
        </w:rPr>
        <w:t>hang Y, Li JT, Wang H, Niu WP, Zhang CC, Zhang Y, Wang XD, Si TM, Su YA. Role of trace amine</w:t>
      </w:r>
      <w:r w:rsidR="00DC6116" w:rsidRPr="008B74D8">
        <w:rPr>
          <w:rFonts w:ascii="Times New Roman" w:eastAsia="MS Gothic" w:hAnsi="Times New Roman" w:cs="Times New Roman"/>
          <w:noProof/>
        </w:rPr>
        <w:t>‑</w:t>
      </w:r>
      <w:r w:rsidR="00DC6116" w:rsidRPr="008B74D8">
        <w:rPr>
          <w:rFonts w:ascii="Times New Roman" w:hAnsi="Times New Roman" w:cs="Times New Roman"/>
          <w:noProof/>
        </w:rPr>
        <w:t xml:space="preserve">associated receptor 1 in the medial prefrontal cortex in chronic social stress-induced cognitive deficits in mice. Pharmacol Res. 2021 May;167:105571. doi: 10.1016/j.phrs.2021.105571. Epub 2021 Mar 20. PMID: </w:t>
      </w:r>
      <w:r w:rsidR="00A82B14" w:rsidRPr="00A82B14">
        <w:rPr>
          <w:rFonts w:ascii="Times New Roman" w:hAnsi="Times New Roman" w:cs="Times New Roman"/>
          <w:noProof/>
        </w:rPr>
        <w:t>33753244.</w:t>
      </w:r>
    </w:p>
    <w:p w14:paraId="1BB1DCBB" w14:textId="77777777" w:rsidR="00132D76" w:rsidRDefault="00132D76">
      <w:pPr>
        <w:rPr>
          <w:noProof/>
        </w:rPr>
      </w:pPr>
    </w:p>
    <w:p w14:paraId="45E74747" w14:textId="677B194C" w:rsidR="00E72CB3" w:rsidRPr="008B74D8" w:rsidRDefault="00132D76">
      <w:pPr>
        <w:rPr>
          <w:rFonts w:ascii="Times New Roman" w:hAnsi="Times New Roman" w:cs="Times New Roman"/>
          <w:noProof/>
        </w:rPr>
      </w:pPr>
      <w:r>
        <w:rPr>
          <w:noProof/>
        </w:rPr>
        <w:drawing>
          <wp:inline distT="0" distB="0" distL="0" distR="0" wp14:anchorId="6C431B76" wp14:editId="658166FD">
            <wp:extent cx="4972050" cy="257345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6636" cy="2575824"/>
                    </a:xfrm>
                    <a:prstGeom prst="rect">
                      <a:avLst/>
                    </a:prstGeom>
                    <a:noFill/>
                    <a:ln>
                      <a:noFill/>
                    </a:ln>
                  </pic:spPr>
                </pic:pic>
              </a:graphicData>
            </a:graphic>
          </wp:inline>
        </w:drawing>
      </w:r>
    </w:p>
    <w:p w14:paraId="26E3FF5A" w14:textId="18526F33" w:rsidR="002654DC" w:rsidRDefault="002654DC">
      <w:pPr>
        <w:rPr>
          <w:noProof/>
        </w:rPr>
      </w:pPr>
    </w:p>
    <w:p w14:paraId="6715FAF0" w14:textId="6490BCB4" w:rsidR="003B321E" w:rsidRDefault="00650647" w:rsidP="00650647">
      <w:pPr>
        <w:jc w:val="center"/>
        <w:rPr>
          <w:noProof/>
        </w:rPr>
      </w:pPr>
      <w:r>
        <w:rPr>
          <w:rFonts w:hint="eastAsia"/>
          <w:noProof/>
        </w:rPr>
        <w:t>痕量胺相关受体1在慢性应激所致认知损伤中的作用</w:t>
      </w:r>
    </w:p>
    <w:p w14:paraId="1FA444C5" w14:textId="77777777" w:rsidR="00650647" w:rsidRDefault="00650647" w:rsidP="00650647">
      <w:pPr>
        <w:jc w:val="center"/>
        <w:rPr>
          <w:rFonts w:hint="eastAsia"/>
          <w:noProof/>
        </w:rPr>
      </w:pPr>
    </w:p>
    <w:p w14:paraId="749143BD" w14:textId="538B07D6" w:rsidR="00132D76" w:rsidRPr="008B74D8" w:rsidRDefault="00E95B9F">
      <w:pPr>
        <w:rPr>
          <w:rFonts w:ascii="Times New Roman" w:hAnsi="Times New Roman" w:cs="Times New Roman"/>
        </w:rPr>
      </w:pPr>
      <w:r>
        <w:rPr>
          <w:rFonts w:ascii="Times New Roman" w:hAnsi="Times New Roman" w:cs="Times New Roman" w:hint="eastAsia"/>
          <w:noProof/>
        </w:rPr>
        <w:drawing>
          <wp:anchor distT="0" distB="0" distL="114300" distR="114300" simplePos="0" relativeHeight="251667456" behindDoc="0" locked="0" layoutInCell="1" allowOverlap="1" wp14:anchorId="3C361264" wp14:editId="7F2871B8">
            <wp:simplePos x="0" y="0"/>
            <wp:positionH relativeFrom="column">
              <wp:posOffset>781050</wp:posOffset>
            </wp:positionH>
            <wp:positionV relativeFrom="paragraph">
              <wp:posOffset>815340</wp:posOffset>
            </wp:positionV>
            <wp:extent cx="4051300" cy="2923540"/>
            <wp:effectExtent l="0" t="0" r="635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1300" cy="2923540"/>
                    </a:xfrm>
                    <a:prstGeom prst="rect">
                      <a:avLst/>
                    </a:prstGeom>
                    <a:noFill/>
                  </pic:spPr>
                </pic:pic>
              </a:graphicData>
            </a:graphic>
            <wp14:sizeRelH relativeFrom="page">
              <wp14:pctWidth>0</wp14:pctWidth>
            </wp14:sizeRelH>
            <wp14:sizeRelV relativeFrom="page">
              <wp14:pctHeight>0</wp14:pctHeight>
            </wp14:sizeRelV>
          </wp:anchor>
        </w:drawing>
      </w:r>
      <w:r w:rsidR="008B74D8" w:rsidRPr="008B74D8">
        <w:rPr>
          <w:rFonts w:ascii="Times New Roman" w:hAnsi="Times New Roman" w:cs="Times New Roman"/>
        </w:rPr>
        <w:t xml:space="preserve">Liu X, Sun YX, Zhang CC, Zhang XQ, Zhang Y, Wang T, Ma YN, Wang H, Su YA, Li JT, Si TM. Vortioxetine attenuates the effects of early-life stress on depression-like behaviors and monoamine transporters in female mice. Neuropharmacology. 2021 Mar </w:t>
      </w:r>
      <w:r w:rsidR="003B321E" w:rsidRPr="008B74D8">
        <w:rPr>
          <w:rFonts w:ascii="Times New Roman" w:hAnsi="Times New Roman" w:cs="Times New Roman"/>
        </w:rPr>
        <w:t>15; 186:108468</w:t>
      </w:r>
      <w:r w:rsidR="008B74D8" w:rsidRPr="008B74D8">
        <w:rPr>
          <w:rFonts w:ascii="Times New Roman" w:hAnsi="Times New Roman" w:cs="Times New Roman"/>
        </w:rPr>
        <w:t>. doi: 10.1016/j.neuropharm.2021.108468. Epub 2021 Jan 21. PMID: 33485943.</w:t>
      </w:r>
    </w:p>
    <w:p w14:paraId="035962C6" w14:textId="7F0480C5" w:rsidR="00650647" w:rsidRPr="00650647" w:rsidRDefault="00650647" w:rsidP="00650647">
      <w:pPr>
        <w:jc w:val="center"/>
        <w:rPr>
          <w:noProof/>
        </w:rPr>
      </w:pPr>
      <w:r w:rsidRPr="00650647">
        <w:rPr>
          <w:rFonts w:hint="eastAsia"/>
          <w:noProof/>
        </w:rPr>
        <w:t>沃替西汀</w:t>
      </w:r>
      <w:r>
        <w:rPr>
          <w:rFonts w:hint="eastAsia"/>
          <w:noProof/>
        </w:rPr>
        <w:t>逆转早年应激所致雌鼠的抑郁样行为</w:t>
      </w:r>
    </w:p>
    <w:p w14:paraId="0052D81B" w14:textId="77777777" w:rsidR="00650647" w:rsidRDefault="00650647">
      <w:pPr>
        <w:rPr>
          <w:rFonts w:ascii="Times New Roman" w:hAnsi="Times New Roman" w:cs="Times New Roman"/>
          <w:b/>
          <w:bCs/>
          <w:sz w:val="28"/>
          <w:szCs w:val="32"/>
        </w:rPr>
      </w:pPr>
    </w:p>
    <w:p w14:paraId="1AA3CBB8" w14:textId="4D9FA391" w:rsidR="00E95B9F" w:rsidRPr="00E95B9F" w:rsidRDefault="00E95B9F">
      <w:pPr>
        <w:rPr>
          <w:rFonts w:ascii="Times New Roman" w:hAnsi="Times New Roman" w:cs="Times New Roman"/>
          <w:b/>
          <w:bCs/>
          <w:sz w:val="28"/>
          <w:szCs w:val="32"/>
        </w:rPr>
      </w:pPr>
      <w:r w:rsidRPr="003B321E">
        <w:rPr>
          <w:rFonts w:ascii="Times New Roman" w:hAnsi="Times New Roman" w:cs="Times New Roman" w:hint="eastAsia"/>
          <w:b/>
          <w:bCs/>
          <w:sz w:val="28"/>
          <w:szCs w:val="32"/>
        </w:rPr>
        <w:lastRenderedPageBreak/>
        <w:t>2</w:t>
      </w:r>
      <w:r w:rsidRPr="003B321E">
        <w:rPr>
          <w:rFonts w:ascii="Times New Roman" w:hAnsi="Times New Roman" w:cs="Times New Roman"/>
          <w:b/>
          <w:bCs/>
          <w:sz w:val="28"/>
          <w:szCs w:val="32"/>
        </w:rPr>
        <w:t>02</w:t>
      </w:r>
      <w:r>
        <w:rPr>
          <w:rFonts w:ascii="Times New Roman" w:hAnsi="Times New Roman" w:cs="Times New Roman"/>
          <w:b/>
          <w:bCs/>
          <w:sz w:val="28"/>
          <w:szCs w:val="32"/>
        </w:rPr>
        <w:t>0</w:t>
      </w:r>
      <w:r w:rsidRPr="003B321E">
        <w:rPr>
          <w:rFonts w:ascii="Times New Roman" w:hAnsi="Times New Roman" w:cs="Times New Roman" w:hint="eastAsia"/>
          <w:b/>
          <w:bCs/>
          <w:sz w:val="28"/>
          <w:szCs w:val="32"/>
        </w:rPr>
        <w:t>年</w:t>
      </w:r>
    </w:p>
    <w:p w14:paraId="2A859DBE" w14:textId="0123551E" w:rsidR="00650647" w:rsidRPr="00650647" w:rsidRDefault="00650647" w:rsidP="00650647">
      <w:pPr>
        <w:rPr>
          <w:rFonts w:ascii="Times New Roman" w:hAnsi="Times New Roman" w:cs="Times New Roman" w:hint="eastAsia"/>
        </w:rPr>
      </w:pPr>
      <w:r>
        <w:rPr>
          <w:noProof/>
        </w:rPr>
        <w:drawing>
          <wp:anchor distT="0" distB="0" distL="114300" distR="114300" simplePos="0" relativeHeight="251666432" behindDoc="0" locked="0" layoutInCell="1" allowOverlap="1" wp14:anchorId="1CD4D327" wp14:editId="5D876CBB">
            <wp:simplePos x="0" y="0"/>
            <wp:positionH relativeFrom="column">
              <wp:posOffset>63500</wp:posOffset>
            </wp:positionH>
            <wp:positionV relativeFrom="paragraph">
              <wp:posOffset>825500</wp:posOffset>
            </wp:positionV>
            <wp:extent cx="5030470" cy="3155950"/>
            <wp:effectExtent l="0" t="0" r="0" b="635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0470" cy="3155950"/>
                    </a:xfrm>
                    <a:prstGeom prst="rect">
                      <a:avLst/>
                    </a:prstGeom>
                    <a:noFill/>
                  </pic:spPr>
                </pic:pic>
              </a:graphicData>
            </a:graphic>
            <wp14:sizeRelH relativeFrom="page">
              <wp14:pctWidth>0</wp14:pctWidth>
            </wp14:sizeRelH>
            <wp14:sizeRelV relativeFrom="page">
              <wp14:pctHeight>0</wp14:pctHeight>
            </wp14:sizeRelV>
          </wp:anchor>
        </w:drawing>
      </w:r>
      <w:r w:rsidR="003B321E" w:rsidRPr="003B321E">
        <w:rPr>
          <w:rFonts w:ascii="Times New Roman" w:hAnsi="Times New Roman" w:cs="Times New Roman"/>
        </w:rPr>
        <w:t>Wang HL, Li JT, Wang H, Sun YX, Liu R, Wang XD, Su YA, Si TM. Prefrontal Nectin3 Reduction Mediates Adolescent Stress-Induced Deficits of Social Memory, Spatial Working Memory, and Dendritic Structure in Mice. Neurosci Bull. 2020 Aug;36(8):860-874. doi: 10.1007/s12264-020-00499-2. Epub 2020 May 8. PMID: 32385776; PMCID: PMC7410914.</w:t>
      </w:r>
    </w:p>
    <w:p w14:paraId="658401AE" w14:textId="2F631BA0" w:rsidR="00650647" w:rsidRDefault="00650647" w:rsidP="00650647">
      <w:pPr>
        <w:jc w:val="center"/>
        <w:rPr>
          <w:rFonts w:hint="eastAsia"/>
        </w:rPr>
      </w:pPr>
      <w:r>
        <w:t>nectin3 可能是青春期慢性社会应激引起前额叶结</w:t>
      </w:r>
      <w:r>
        <w:rPr>
          <w:rFonts w:hint="eastAsia"/>
        </w:rPr>
        <w:t>构和功能损害的潜在神经机制</w:t>
      </w:r>
    </w:p>
    <w:p w14:paraId="62128EF8" w14:textId="77777777" w:rsidR="00650647" w:rsidRDefault="00650647" w:rsidP="00650647">
      <w:pPr>
        <w:rPr>
          <w:rFonts w:ascii="Times New Roman" w:hAnsi="Times New Roman" w:cs="Times New Roman"/>
          <w:color w:val="212121"/>
          <w:shd w:val="clear" w:color="auto" w:fill="FFFFFF"/>
        </w:rPr>
      </w:pPr>
    </w:p>
    <w:p w14:paraId="6668BA5E" w14:textId="5B8D9824" w:rsidR="003B321E" w:rsidRPr="00A50E69" w:rsidRDefault="00A50E69" w:rsidP="00650647">
      <w:pPr>
        <w:rPr>
          <w:rFonts w:ascii="Times New Roman" w:hAnsi="Times New Roman" w:cs="Times New Roman"/>
        </w:rPr>
      </w:pPr>
      <w:r>
        <w:rPr>
          <w:noProof/>
        </w:rPr>
        <w:drawing>
          <wp:anchor distT="0" distB="0" distL="114300" distR="114300" simplePos="0" relativeHeight="251668480" behindDoc="0" locked="0" layoutInCell="1" allowOverlap="1" wp14:anchorId="16F509FD" wp14:editId="0E8524A8">
            <wp:simplePos x="0" y="0"/>
            <wp:positionH relativeFrom="column">
              <wp:posOffset>1257300</wp:posOffset>
            </wp:positionH>
            <wp:positionV relativeFrom="paragraph">
              <wp:posOffset>859790</wp:posOffset>
            </wp:positionV>
            <wp:extent cx="3123565" cy="2885440"/>
            <wp:effectExtent l="0" t="0" r="635" b="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3565" cy="2885440"/>
                    </a:xfrm>
                    <a:prstGeom prst="rect">
                      <a:avLst/>
                    </a:prstGeom>
                    <a:noFill/>
                  </pic:spPr>
                </pic:pic>
              </a:graphicData>
            </a:graphic>
            <wp14:sizeRelH relativeFrom="page">
              <wp14:pctWidth>0</wp14:pctWidth>
            </wp14:sizeRelH>
            <wp14:sizeRelV relativeFrom="page">
              <wp14:pctHeight>0</wp14:pctHeight>
            </wp14:sizeRelV>
          </wp:anchor>
        </w:drawing>
      </w:r>
      <w:r w:rsidRPr="00A50E69">
        <w:rPr>
          <w:rFonts w:ascii="Times New Roman" w:hAnsi="Times New Roman" w:cs="Times New Roman"/>
          <w:color w:val="212121"/>
          <w:shd w:val="clear" w:color="auto" w:fill="FFFFFF"/>
        </w:rPr>
        <w:t>Ma YN, Sun YX, Wang T, Wang H, Zhang Y, Su YA, Li JT, Si TM. Subchronic MK-801 treatment during adolescence induces long-term, not permanent, excitatory-inhibitory imbalance in the rat hippocampus. Eur J Pharmacol. 2020 Jan 15; 867:172807. doi: 10.1016/j.ejphar.2019.172807. Epub 2019 Nov 18. PMID: 31751575.</w:t>
      </w:r>
    </w:p>
    <w:p w14:paraId="289E4A1A" w14:textId="50E13144" w:rsidR="00650647" w:rsidRPr="00650647" w:rsidRDefault="00650647" w:rsidP="00650647">
      <w:pPr>
        <w:jc w:val="center"/>
        <w:rPr>
          <w:rFonts w:hint="eastAsia"/>
        </w:rPr>
      </w:pPr>
      <w:r>
        <w:rPr>
          <w:rFonts w:hint="eastAsia"/>
        </w:rPr>
        <w:t>青春期重复注射M</w:t>
      </w:r>
      <w:r>
        <w:t>K-801</w:t>
      </w:r>
      <w:r>
        <w:rPr>
          <w:rFonts w:hint="eastAsia"/>
        </w:rPr>
        <w:t>会导致海马长期的兴奋-抑制平衡紊乱</w:t>
      </w:r>
    </w:p>
    <w:p w14:paraId="74659194" w14:textId="24DC0AFD" w:rsidR="00FE1FC4" w:rsidRPr="00FE1FC4" w:rsidRDefault="00FE1FC4" w:rsidP="008B74D8">
      <w:pPr>
        <w:rPr>
          <w:rFonts w:ascii="Times New Roman" w:hAnsi="Times New Roman" w:cs="Times New Roman"/>
          <w:b/>
          <w:bCs/>
          <w:sz w:val="28"/>
          <w:szCs w:val="32"/>
        </w:rPr>
      </w:pPr>
      <w:r w:rsidRPr="003B321E">
        <w:rPr>
          <w:rFonts w:ascii="Times New Roman" w:hAnsi="Times New Roman" w:cs="Times New Roman" w:hint="eastAsia"/>
          <w:b/>
          <w:bCs/>
          <w:sz w:val="28"/>
          <w:szCs w:val="32"/>
        </w:rPr>
        <w:lastRenderedPageBreak/>
        <w:t>2</w:t>
      </w:r>
      <w:r w:rsidRPr="003B321E">
        <w:rPr>
          <w:rFonts w:ascii="Times New Roman" w:hAnsi="Times New Roman" w:cs="Times New Roman"/>
          <w:b/>
          <w:bCs/>
          <w:sz w:val="28"/>
          <w:szCs w:val="32"/>
        </w:rPr>
        <w:t>0</w:t>
      </w:r>
      <w:r>
        <w:rPr>
          <w:rFonts w:ascii="Times New Roman" w:hAnsi="Times New Roman" w:cs="Times New Roman"/>
          <w:b/>
          <w:bCs/>
          <w:sz w:val="28"/>
          <w:szCs w:val="32"/>
        </w:rPr>
        <w:t>19</w:t>
      </w:r>
      <w:r w:rsidRPr="003B321E">
        <w:rPr>
          <w:rFonts w:ascii="Times New Roman" w:hAnsi="Times New Roman" w:cs="Times New Roman" w:hint="eastAsia"/>
          <w:b/>
          <w:bCs/>
          <w:sz w:val="28"/>
          <w:szCs w:val="32"/>
        </w:rPr>
        <w:t>年</w:t>
      </w:r>
    </w:p>
    <w:p w14:paraId="3477F1EF" w14:textId="79E6A469" w:rsidR="00FE1FC4" w:rsidRDefault="00FE1FC4" w:rsidP="008B74D8">
      <w:pPr>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0" locked="0" layoutInCell="1" allowOverlap="1" wp14:anchorId="31C0843F" wp14:editId="31101747">
            <wp:simplePos x="0" y="0"/>
            <wp:positionH relativeFrom="column">
              <wp:posOffset>217805</wp:posOffset>
            </wp:positionH>
            <wp:positionV relativeFrom="paragraph">
              <wp:posOffset>803910</wp:posOffset>
            </wp:positionV>
            <wp:extent cx="4965065" cy="3206750"/>
            <wp:effectExtent l="0" t="0" r="6985" b="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5065" cy="3206750"/>
                    </a:xfrm>
                    <a:prstGeom prst="rect">
                      <a:avLst/>
                    </a:prstGeom>
                    <a:noFill/>
                  </pic:spPr>
                </pic:pic>
              </a:graphicData>
            </a:graphic>
            <wp14:sizeRelH relativeFrom="page">
              <wp14:pctWidth>0</wp14:pctWidth>
            </wp14:sizeRelH>
            <wp14:sizeRelV relativeFrom="page">
              <wp14:pctHeight>0</wp14:pctHeight>
            </wp14:sizeRelV>
          </wp:anchor>
        </w:drawing>
      </w:r>
      <w:r w:rsidRPr="00FE1FC4">
        <w:rPr>
          <w:rFonts w:ascii="Times New Roman" w:hAnsi="Times New Roman" w:cs="Times New Roman"/>
        </w:rPr>
        <w:t>Liu R, Wang H, Wang HL, Sun YX, Su YA, Wang XD, Li JT, Si TM. Postnatal nectin-3 knockdown induces structural abnormalities of hippocampal principal neurons and memory deficits in adult mice. Hippocampus. 2019 Nov;29(11):1063-1074. doi: 10.1002/hipo.23098. Epub 2019 May 8. PMID: 31066147; PMCID: PMC6850426.</w:t>
      </w:r>
    </w:p>
    <w:p w14:paraId="2BFE0C0C" w14:textId="65794F5E" w:rsidR="00FE1FC4" w:rsidRDefault="00FE1FC4" w:rsidP="008B74D8">
      <w:pPr>
        <w:rPr>
          <w:rFonts w:ascii="Times New Roman" w:hAnsi="Times New Roman" w:cs="Times New Roman"/>
        </w:rPr>
      </w:pPr>
    </w:p>
    <w:p w14:paraId="2B58F0D2" w14:textId="2BADCAC6" w:rsidR="00FE1FC4" w:rsidRDefault="0011779D" w:rsidP="0011779D">
      <w:pPr>
        <w:jc w:val="center"/>
        <w:rPr>
          <w:rFonts w:ascii="Times New Roman" w:hAnsi="Times New Roman" w:cs="Times New Roman"/>
        </w:rPr>
      </w:pPr>
      <w:proofErr w:type="gramStart"/>
      <w:r>
        <w:rPr>
          <w:rFonts w:ascii="Times New Roman" w:hAnsi="Times New Roman" w:cs="Times New Roman" w:hint="eastAsia"/>
        </w:rPr>
        <w:t>出生后敲低</w:t>
      </w:r>
      <w:proofErr w:type="gramEnd"/>
      <w:r>
        <w:rPr>
          <w:rFonts w:ascii="Times New Roman" w:hAnsi="Times New Roman" w:cs="Times New Roman" w:hint="eastAsia"/>
        </w:rPr>
        <w:t>nectin</w:t>
      </w:r>
      <w:r>
        <w:rPr>
          <w:rFonts w:ascii="Times New Roman" w:hAnsi="Times New Roman" w:cs="Times New Roman"/>
        </w:rPr>
        <w:t>3</w:t>
      </w:r>
      <w:r>
        <w:rPr>
          <w:rFonts w:ascii="Times New Roman" w:hAnsi="Times New Roman" w:cs="Times New Roman" w:hint="eastAsia"/>
        </w:rPr>
        <w:t>会导致成年小鼠的认知功能损伤以及海马锥体神经元结构异常</w:t>
      </w:r>
    </w:p>
    <w:p w14:paraId="3AC8244F" w14:textId="77777777" w:rsidR="00A06BFD" w:rsidRDefault="00A06BFD" w:rsidP="00A06BFD">
      <w:pPr>
        <w:jc w:val="center"/>
        <w:rPr>
          <w:rFonts w:ascii="Times New Roman" w:hAnsi="Times New Roman" w:cs="Times New Roman" w:hint="eastAsia"/>
        </w:rPr>
      </w:pPr>
    </w:p>
    <w:p w14:paraId="1E2D32A4" w14:textId="5AC788D9" w:rsidR="00A50E69" w:rsidRDefault="00755FA1" w:rsidP="008B74D8">
      <w:pPr>
        <w:rPr>
          <w:rFonts w:ascii="Times New Roman" w:hAnsi="Times New Roman" w:cs="Times New Roman"/>
        </w:rPr>
      </w:pPr>
      <w:r>
        <w:rPr>
          <w:rFonts w:ascii="Times New Roman" w:hAnsi="Times New Roman" w:cs="Times New Roman" w:hint="eastAsia"/>
          <w:noProof/>
        </w:rPr>
        <w:drawing>
          <wp:anchor distT="0" distB="0" distL="114300" distR="114300" simplePos="0" relativeHeight="251672576" behindDoc="0" locked="0" layoutInCell="1" allowOverlap="1" wp14:anchorId="081163A5" wp14:editId="1C4AF422">
            <wp:simplePos x="0" y="0"/>
            <wp:positionH relativeFrom="column">
              <wp:posOffset>1028700</wp:posOffset>
            </wp:positionH>
            <wp:positionV relativeFrom="paragraph">
              <wp:posOffset>878840</wp:posOffset>
            </wp:positionV>
            <wp:extent cx="3454400" cy="2798445"/>
            <wp:effectExtent l="0" t="0" r="0" b="1905"/>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4400" cy="2798445"/>
                    </a:xfrm>
                    <a:prstGeom prst="rect">
                      <a:avLst/>
                    </a:prstGeom>
                    <a:noFill/>
                  </pic:spPr>
                </pic:pic>
              </a:graphicData>
            </a:graphic>
            <wp14:sizeRelH relativeFrom="page">
              <wp14:pctWidth>0</wp14:pctWidth>
            </wp14:sizeRelH>
            <wp14:sizeRelV relativeFrom="page">
              <wp14:pctHeight>0</wp14:pctHeight>
            </wp14:sizeRelV>
          </wp:anchor>
        </w:drawing>
      </w:r>
      <w:r w:rsidR="00FE1FC4" w:rsidRPr="00FE1FC4">
        <w:rPr>
          <w:rFonts w:ascii="Times New Roman" w:hAnsi="Times New Roman" w:cs="Times New Roman"/>
        </w:rPr>
        <w:t xml:space="preserve">Li J, Li Y, Sun Y, Wang H, Liu X, Zhao Y, Wang H, Su Y, Si T. Chronic mild corticosterone exposure during adolescence enhances behaviors and upregulates neuroplasticity-related proteins in rat hippocampus. Prog Neuropsychopharmacol Biol Psychiatry. 2019 Mar </w:t>
      </w:r>
      <w:r w:rsidR="00044B1B" w:rsidRPr="00FE1FC4">
        <w:rPr>
          <w:rFonts w:ascii="Times New Roman" w:hAnsi="Times New Roman" w:cs="Times New Roman"/>
        </w:rPr>
        <w:t>8; 89:400</w:t>
      </w:r>
      <w:r w:rsidR="00FE1FC4" w:rsidRPr="00FE1FC4">
        <w:rPr>
          <w:rFonts w:ascii="Times New Roman" w:hAnsi="Times New Roman" w:cs="Times New Roman"/>
        </w:rPr>
        <w:t>-411. doi: 10.1016/j.pnpbp.2018.10.016. Epub 2018 Oct 28. PMID: 30392783.</w:t>
      </w:r>
    </w:p>
    <w:p w14:paraId="30283DB0" w14:textId="03AE3BF1" w:rsidR="00A06BFD" w:rsidRDefault="00A06BFD" w:rsidP="00A06BFD">
      <w:pPr>
        <w:jc w:val="center"/>
        <w:rPr>
          <w:rFonts w:ascii="Times New Roman" w:hAnsi="Times New Roman" w:cs="Times New Roman" w:hint="eastAsia"/>
        </w:rPr>
      </w:pPr>
      <w:r>
        <w:rPr>
          <w:rFonts w:ascii="Times New Roman" w:hAnsi="Times New Roman" w:cs="Times New Roman" w:hint="eastAsia"/>
        </w:rPr>
        <w:lastRenderedPageBreak/>
        <w:t>青春期慢性给予皮质酮会改善大鼠的认知功能</w:t>
      </w:r>
      <w:r w:rsidR="00EF42BE">
        <w:rPr>
          <w:rFonts w:ascii="Times New Roman" w:hAnsi="Times New Roman" w:cs="Times New Roman" w:hint="eastAsia"/>
        </w:rPr>
        <w:t>以及增强神经可塑性</w:t>
      </w:r>
    </w:p>
    <w:p w14:paraId="76B0C598" w14:textId="77777777" w:rsidR="00A06BFD" w:rsidRDefault="00A06BFD" w:rsidP="008B74D8">
      <w:pPr>
        <w:rPr>
          <w:rFonts w:ascii="Times New Roman" w:hAnsi="Times New Roman" w:cs="Times New Roman" w:hint="eastAsia"/>
        </w:rPr>
      </w:pPr>
    </w:p>
    <w:p w14:paraId="454D919A" w14:textId="3B6E75DF" w:rsidR="00755FA1" w:rsidRDefault="00A06BFD" w:rsidP="008B74D8">
      <w:pPr>
        <w:rPr>
          <w:rFonts w:ascii="Times New Roman" w:hAnsi="Times New Roman" w:cs="Times New Roman"/>
        </w:rPr>
      </w:pPr>
      <w:r>
        <w:rPr>
          <w:rFonts w:ascii="Times New Roman" w:hAnsi="Times New Roman" w:cs="Times New Roman"/>
          <w:noProof/>
        </w:rPr>
        <w:drawing>
          <wp:anchor distT="0" distB="0" distL="114300" distR="114300" simplePos="0" relativeHeight="251673600" behindDoc="0" locked="0" layoutInCell="1" allowOverlap="1" wp14:anchorId="091B0A72" wp14:editId="17ACC075">
            <wp:simplePos x="0" y="0"/>
            <wp:positionH relativeFrom="column">
              <wp:posOffset>-21590</wp:posOffset>
            </wp:positionH>
            <wp:positionV relativeFrom="paragraph">
              <wp:posOffset>850900</wp:posOffset>
            </wp:positionV>
            <wp:extent cx="5347335" cy="3136900"/>
            <wp:effectExtent l="0" t="0" r="5715" b="635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7335" cy="3136900"/>
                    </a:xfrm>
                    <a:prstGeom prst="rect">
                      <a:avLst/>
                    </a:prstGeom>
                    <a:noFill/>
                  </pic:spPr>
                </pic:pic>
              </a:graphicData>
            </a:graphic>
            <wp14:sizeRelH relativeFrom="page">
              <wp14:pctWidth>0</wp14:pctWidth>
            </wp14:sizeRelH>
            <wp14:sizeRelV relativeFrom="page">
              <wp14:pctHeight>0</wp14:pctHeight>
            </wp14:sizeRelV>
          </wp:anchor>
        </w:drawing>
      </w:r>
      <w:r w:rsidR="00755FA1" w:rsidRPr="00755FA1">
        <w:rPr>
          <w:rFonts w:ascii="Times New Roman" w:hAnsi="Times New Roman" w:cs="Times New Roman"/>
        </w:rPr>
        <w:t>Wang H, Li JT, Zhang Y, Liu R, Wang XD, Si TM, Su YA. Prenatal Exposure to Antipsychotics Disrupts the Plasticity of Dentate Neurons and Memory in Adult Male Mice. Int J Neuropsychopharmacol. 2019 Jan 1;22(1):71-82. doi: 10.1093/ijnp/pyy073. PMID: 30169628; PMCID: PMC6313132.</w:t>
      </w:r>
    </w:p>
    <w:p w14:paraId="225AC66C" w14:textId="79F7FB92" w:rsidR="00BF4584" w:rsidRDefault="00EF42BE" w:rsidP="00EF42BE">
      <w:pPr>
        <w:jc w:val="center"/>
        <w:rPr>
          <w:rFonts w:ascii="Times New Roman" w:hAnsi="Times New Roman" w:cs="Times New Roman" w:hint="eastAsia"/>
        </w:rPr>
      </w:pPr>
      <w:r>
        <w:rPr>
          <w:rFonts w:ascii="Times New Roman" w:hAnsi="Times New Roman" w:cs="Times New Roman" w:hint="eastAsia"/>
        </w:rPr>
        <w:t>孕期给予抗精神病药物会损坏成年小鼠的空间记忆以及降低海马齿状回</w:t>
      </w:r>
      <w:proofErr w:type="gramStart"/>
      <w:r>
        <w:rPr>
          <w:rFonts w:ascii="Times New Roman" w:hAnsi="Times New Roman" w:cs="Times New Roman" w:hint="eastAsia"/>
        </w:rPr>
        <w:t>神经元</w:t>
      </w:r>
      <w:proofErr w:type="gramEnd"/>
      <w:r>
        <w:rPr>
          <w:rFonts w:ascii="Times New Roman" w:hAnsi="Times New Roman" w:cs="Times New Roman" w:hint="eastAsia"/>
        </w:rPr>
        <w:t>可塑性</w:t>
      </w:r>
    </w:p>
    <w:p w14:paraId="0CE8AABF" w14:textId="41680835" w:rsidR="003F6ADE" w:rsidRPr="003F6ADE" w:rsidRDefault="003F6ADE" w:rsidP="008B74D8">
      <w:pPr>
        <w:rPr>
          <w:rFonts w:ascii="Times New Roman" w:hAnsi="Times New Roman" w:cs="Times New Roman"/>
          <w:b/>
          <w:bCs/>
          <w:sz w:val="28"/>
          <w:szCs w:val="32"/>
        </w:rPr>
      </w:pPr>
      <w:r w:rsidRPr="003B321E">
        <w:rPr>
          <w:rFonts w:ascii="Times New Roman" w:hAnsi="Times New Roman" w:cs="Times New Roman" w:hint="eastAsia"/>
          <w:b/>
          <w:bCs/>
          <w:sz w:val="28"/>
          <w:szCs w:val="32"/>
        </w:rPr>
        <w:t>2</w:t>
      </w:r>
      <w:r w:rsidRPr="003B321E">
        <w:rPr>
          <w:rFonts w:ascii="Times New Roman" w:hAnsi="Times New Roman" w:cs="Times New Roman"/>
          <w:b/>
          <w:bCs/>
          <w:sz w:val="28"/>
          <w:szCs w:val="32"/>
        </w:rPr>
        <w:t>0</w:t>
      </w:r>
      <w:r>
        <w:rPr>
          <w:rFonts w:ascii="Times New Roman" w:hAnsi="Times New Roman" w:cs="Times New Roman"/>
          <w:b/>
          <w:bCs/>
          <w:sz w:val="28"/>
          <w:szCs w:val="32"/>
        </w:rPr>
        <w:t>18</w:t>
      </w:r>
      <w:r w:rsidRPr="003B321E">
        <w:rPr>
          <w:rFonts w:ascii="Times New Roman" w:hAnsi="Times New Roman" w:cs="Times New Roman" w:hint="eastAsia"/>
          <w:b/>
          <w:bCs/>
          <w:sz w:val="28"/>
          <w:szCs w:val="32"/>
        </w:rPr>
        <w:t>年</w:t>
      </w:r>
    </w:p>
    <w:p w14:paraId="5659D5B7" w14:textId="713E56D8" w:rsidR="00755FA1" w:rsidRDefault="00A06BFD" w:rsidP="008B74D8">
      <w:pPr>
        <w:rPr>
          <w:rFonts w:ascii="Times New Roman" w:hAnsi="Times New Roman" w:cs="Times New Roman"/>
        </w:rPr>
      </w:pPr>
      <w:r>
        <w:rPr>
          <w:rFonts w:ascii="Times New Roman" w:hAnsi="Times New Roman" w:cs="Times New Roman"/>
          <w:noProof/>
        </w:rPr>
        <w:drawing>
          <wp:anchor distT="0" distB="0" distL="114300" distR="114300" simplePos="0" relativeHeight="251687936" behindDoc="0" locked="0" layoutInCell="1" allowOverlap="1" wp14:anchorId="56660EE9" wp14:editId="0C35FCBD">
            <wp:simplePos x="0" y="0"/>
            <wp:positionH relativeFrom="column">
              <wp:posOffset>323850</wp:posOffset>
            </wp:positionH>
            <wp:positionV relativeFrom="paragraph">
              <wp:posOffset>950595</wp:posOffset>
            </wp:positionV>
            <wp:extent cx="4648835" cy="246189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8835" cy="2461895"/>
                    </a:xfrm>
                    <a:prstGeom prst="rect">
                      <a:avLst/>
                    </a:prstGeom>
                    <a:noFill/>
                  </pic:spPr>
                </pic:pic>
              </a:graphicData>
            </a:graphic>
            <wp14:sizeRelH relativeFrom="page">
              <wp14:pctWidth>0</wp14:pctWidth>
            </wp14:sizeRelH>
            <wp14:sizeRelV relativeFrom="page">
              <wp14:pctHeight>0</wp14:pctHeight>
            </wp14:sizeRelV>
          </wp:anchor>
        </w:drawing>
      </w:r>
      <w:r w:rsidR="00BF4584" w:rsidRPr="00BF4584">
        <w:rPr>
          <w:rFonts w:ascii="Times New Roman" w:hAnsi="Times New Roman" w:cs="Times New Roman"/>
        </w:rPr>
        <w:t xml:space="preserve">Liu X, Li J, Guo C, Wang H, Sun Y, Wang H, Su YA, Li K, Si T. Olanzapine Reverses MK-801-Induced Cognitive Deficits and Region-Specific Alterations of NMDA Receptor Subunits. Front Behav Neurosci. 2018 Jan </w:t>
      </w:r>
      <w:r w:rsidR="003F6ADE" w:rsidRPr="00BF4584">
        <w:rPr>
          <w:rFonts w:ascii="Times New Roman" w:hAnsi="Times New Roman" w:cs="Times New Roman"/>
        </w:rPr>
        <w:t>9; 11:260</w:t>
      </w:r>
      <w:r w:rsidR="00BF4584" w:rsidRPr="00BF4584">
        <w:rPr>
          <w:rFonts w:ascii="Times New Roman" w:hAnsi="Times New Roman" w:cs="Times New Roman"/>
        </w:rPr>
        <w:t>. doi: 10.3389/fnbeh.2017.00260. PMID: 29375333; PMCID: PMC5767175.</w:t>
      </w:r>
    </w:p>
    <w:p w14:paraId="5F2EA7AA" w14:textId="7D4B7555" w:rsidR="00BF4584" w:rsidRDefault="00EF42BE" w:rsidP="00EF42BE">
      <w:pPr>
        <w:jc w:val="center"/>
        <w:rPr>
          <w:rFonts w:ascii="Times New Roman" w:hAnsi="Times New Roman" w:cs="Times New Roman" w:hint="eastAsia"/>
        </w:rPr>
      </w:pPr>
      <w:proofErr w:type="gramStart"/>
      <w:r>
        <w:rPr>
          <w:rFonts w:ascii="Times New Roman" w:hAnsi="Times New Roman" w:cs="Times New Roman" w:hint="eastAsia"/>
        </w:rPr>
        <w:t>奥氮平</w:t>
      </w:r>
      <w:proofErr w:type="gramEnd"/>
      <w:r>
        <w:rPr>
          <w:rFonts w:ascii="Times New Roman" w:hAnsi="Times New Roman" w:cs="Times New Roman" w:hint="eastAsia"/>
        </w:rPr>
        <w:t>可以逆转</w:t>
      </w:r>
      <w:r>
        <w:rPr>
          <w:rFonts w:ascii="Times New Roman" w:hAnsi="Times New Roman" w:cs="Times New Roman" w:hint="eastAsia"/>
        </w:rPr>
        <w:t>M</w:t>
      </w:r>
      <w:r>
        <w:rPr>
          <w:rFonts w:ascii="Times New Roman" w:hAnsi="Times New Roman" w:cs="Times New Roman"/>
        </w:rPr>
        <w:t>K-801</w:t>
      </w:r>
      <w:r>
        <w:rPr>
          <w:rFonts w:ascii="Times New Roman" w:hAnsi="Times New Roman" w:cs="Times New Roman" w:hint="eastAsia"/>
        </w:rPr>
        <w:t>所致的认知功能损伤以及前额叶皮层的</w:t>
      </w:r>
      <w:r>
        <w:rPr>
          <w:rFonts w:ascii="Times New Roman" w:hAnsi="Times New Roman" w:cs="Times New Roman"/>
        </w:rPr>
        <w:t>NMDA</w:t>
      </w:r>
      <w:r>
        <w:rPr>
          <w:rFonts w:ascii="Times New Roman" w:hAnsi="Times New Roman" w:cs="Times New Roman" w:hint="eastAsia"/>
        </w:rPr>
        <w:t>受体异常改变</w:t>
      </w:r>
    </w:p>
    <w:p w14:paraId="26614AB2" w14:textId="3A9F8E8F" w:rsidR="00E17291" w:rsidRPr="00E17291" w:rsidRDefault="00E17291" w:rsidP="008B74D8">
      <w:pPr>
        <w:rPr>
          <w:rFonts w:ascii="Times New Roman" w:hAnsi="Times New Roman" w:cs="Times New Roman"/>
          <w:b/>
          <w:bCs/>
          <w:sz w:val="28"/>
          <w:szCs w:val="32"/>
        </w:rPr>
      </w:pPr>
      <w:r w:rsidRPr="003B321E">
        <w:rPr>
          <w:rFonts w:ascii="Times New Roman" w:hAnsi="Times New Roman" w:cs="Times New Roman" w:hint="eastAsia"/>
          <w:b/>
          <w:bCs/>
          <w:sz w:val="28"/>
          <w:szCs w:val="32"/>
        </w:rPr>
        <w:lastRenderedPageBreak/>
        <w:t>2</w:t>
      </w:r>
      <w:r w:rsidRPr="003B321E">
        <w:rPr>
          <w:rFonts w:ascii="Times New Roman" w:hAnsi="Times New Roman" w:cs="Times New Roman"/>
          <w:b/>
          <w:bCs/>
          <w:sz w:val="28"/>
          <w:szCs w:val="32"/>
        </w:rPr>
        <w:t>0</w:t>
      </w:r>
      <w:r>
        <w:rPr>
          <w:rFonts w:ascii="Times New Roman" w:hAnsi="Times New Roman" w:cs="Times New Roman"/>
          <w:b/>
          <w:bCs/>
          <w:sz w:val="28"/>
          <w:szCs w:val="32"/>
        </w:rPr>
        <w:t>17</w:t>
      </w:r>
      <w:r w:rsidRPr="003B321E">
        <w:rPr>
          <w:rFonts w:ascii="Times New Roman" w:hAnsi="Times New Roman" w:cs="Times New Roman" w:hint="eastAsia"/>
          <w:b/>
          <w:bCs/>
          <w:sz w:val="28"/>
          <w:szCs w:val="32"/>
        </w:rPr>
        <w:t>年</w:t>
      </w:r>
    </w:p>
    <w:p w14:paraId="77D9A7B1" w14:textId="3339D076" w:rsidR="00924576" w:rsidRDefault="00E17291" w:rsidP="008B74D8">
      <w:pPr>
        <w:rPr>
          <w:rFonts w:ascii="Times New Roman" w:hAnsi="Times New Roman" w:cs="Times New Roman"/>
        </w:rPr>
      </w:pPr>
      <w:r>
        <w:rPr>
          <w:noProof/>
        </w:rPr>
        <w:drawing>
          <wp:anchor distT="0" distB="0" distL="114300" distR="114300" simplePos="0" relativeHeight="251677696" behindDoc="0" locked="0" layoutInCell="1" allowOverlap="1" wp14:anchorId="78637671" wp14:editId="7573D1AE">
            <wp:simplePos x="0" y="0"/>
            <wp:positionH relativeFrom="column">
              <wp:posOffset>698500</wp:posOffset>
            </wp:positionH>
            <wp:positionV relativeFrom="paragraph">
              <wp:posOffset>797560</wp:posOffset>
            </wp:positionV>
            <wp:extent cx="3790950" cy="3782060"/>
            <wp:effectExtent l="0" t="0" r="0" b="889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90950" cy="3782060"/>
                    </a:xfrm>
                    <a:prstGeom prst="rect">
                      <a:avLst/>
                    </a:prstGeom>
                  </pic:spPr>
                </pic:pic>
              </a:graphicData>
            </a:graphic>
            <wp14:sizeRelH relativeFrom="margin">
              <wp14:pctWidth>0</wp14:pctWidth>
            </wp14:sizeRelH>
            <wp14:sizeRelV relativeFrom="margin">
              <wp14:pctHeight>0</wp14:pctHeight>
            </wp14:sizeRelV>
          </wp:anchor>
        </w:drawing>
      </w:r>
      <w:r w:rsidR="008B74D8" w:rsidRPr="008B74D8">
        <w:rPr>
          <w:rFonts w:ascii="Times New Roman" w:hAnsi="Times New Roman" w:cs="Times New Roman"/>
        </w:rPr>
        <w:t>Li JT, Xie XM, Yu JY, Sun YX, Liao XM, Wang XX, Su YA, Liu YJ, Schmidt MV, Wang XD, Si TM. Suppressed Calbindin Levels in Hippocampal Excitatory Neurons Mediate Stress-Induced Memory Loss. Cell Rep. 2017 Oct 24;21(4):891-900. doi: 10.1016/j.celrep.2017.10.006. PMID: 29069596.</w:t>
      </w:r>
    </w:p>
    <w:p w14:paraId="267EF8B9" w14:textId="4548E7EB" w:rsidR="00EF42BE" w:rsidRDefault="00EF42BE" w:rsidP="00EF42BE">
      <w:pPr>
        <w:jc w:val="center"/>
        <w:rPr>
          <w:rFonts w:ascii="Times New Roman" w:hAnsi="Times New Roman" w:cs="Times New Roman"/>
        </w:rPr>
      </w:pPr>
      <w:r w:rsidRPr="00EF42BE">
        <w:rPr>
          <w:rFonts w:ascii="Times New Roman" w:hAnsi="Times New Roman" w:cs="Times New Roman"/>
        </w:rPr>
        <w:t>CRHR1–nectin3–calbindin–IMPase</w:t>
      </w:r>
      <w:r w:rsidRPr="00EF42BE">
        <w:rPr>
          <w:rFonts w:ascii="Times New Roman" w:hAnsi="Times New Roman" w:cs="Times New Roman"/>
        </w:rPr>
        <w:t>信号通路参与早年应激负性效应</w:t>
      </w:r>
      <w:r>
        <w:rPr>
          <w:rFonts w:ascii="Times New Roman" w:hAnsi="Times New Roman" w:cs="Times New Roman" w:hint="eastAsia"/>
        </w:rPr>
        <w:t>潜在</w:t>
      </w:r>
      <w:r w:rsidRPr="00EF42BE">
        <w:rPr>
          <w:rFonts w:ascii="Times New Roman" w:hAnsi="Times New Roman" w:cs="Times New Roman"/>
        </w:rPr>
        <w:t>机制</w:t>
      </w:r>
    </w:p>
    <w:p w14:paraId="18F601FB" w14:textId="77777777" w:rsidR="0011779D" w:rsidRDefault="0011779D" w:rsidP="00EF42BE">
      <w:pPr>
        <w:jc w:val="center"/>
        <w:rPr>
          <w:rFonts w:ascii="Times New Roman" w:hAnsi="Times New Roman" w:cs="Times New Roman" w:hint="eastAsia"/>
        </w:rPr>
      </w:pPr>
    </w:p>
    <w:p w14:paraId="053DBBF2" w14:textId="52E140C7" w:rsidR="00924576" w:rsidRPr="008B74D8" w:rsidRDefault="00193833" w:rsidP="008B74D8">
      <w:pPr>
        <w:rPr>
          <w:rFonts w:ascii="Times New Roman" w:hAnsi="Times New Roman" w:cs="Times New Roman"/>
        </w:rPr>
      </w:pPr>
      <w:r>
        <w:rPr>
          <w:noProof/>
        </w:rPr>
        <w:drawing>
          <wp:anchor distT="0" distB="0" distL="114300" distR="114300" simplePos="0" relativeHeight="251678720" behindDoc="0" locked="0" layoutInCell="1" allowOverlap="1" wp14:anchorId="7AE4E976" wp14:editId="634C5E3A">
            <wp:simplePos x="0" y="0"/>
            <wp:positionH relativeFrom="column">
              <wp:posOffset>1143000</wp:posOffset>
            </wp:positionH>
            <wp:positionV relativeFrom="paragraph">
              <wp:posOffset>640080</wp:posOffset>
            </wp:positionV>
            <wp:extent cx="3575050" cy="2578735"/>
            <wp:effectExtent l="0" t="0" r="635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5050" cy="2578735"/>
                    </a:xfrm>
                    <a:prstGeom prst="rect">
                      <a:avLst/>
                    </a:prstGeom>
                    <a:noFill/>
                  </pic:spPr>
                </pic:pic>
              </a:graphicData>
            </a:graphic>
            <wp14:sizeRelH relativeFrom="page">
              <wp14:pctWidth>0</wp14:pctWidth>
            </wp14:sizeRelH>
            <wp14:sizeRelV relativeFrom="page">
              <wp14:pctHeight>0</wp14:pctHeight>
            </wp14:sizeRelV>
          </wp:anchor>
        </w:drawing>
      </w:r>
      <w:r w:rsidR="00924576" w:rsidRPr="00924576">
        <w:rPr>
          <w:rFonts w:ascii="Times New Roman" w:hAnsi="Times New Roman" w:cs="Times New Roman"/>
        </w:rPr>
        <w:t xml:space="preserve">Li J, Xie X, Li Y, Liu X, Liao X, Su YA, Si T. Differential Behavioral and Neurobiological Effects of Chronic Corticosterone Treatment in Adolescent and Adult Rats. Front Mol Neurosci. 2017 Feb </w:t>
      </w:r>
      <w:proofErr w:type="gramStart"/>
      <w:r w:rsidR="00924576" w:rsidRPr="00924576">
        <w:rPr>
          <w:rFonts w:ascii="Times New Roman" w:hAnsi="Times New Roman" w:cs="Times New Roman"/>
        </w:rPr>
        <w:t>2;10:25</w:t>
      </w:r>
      <w:proofErr w:type="gramEnd"/>
      <w:r w:rsidR="00924576" w:rsidRPr="00924576">
        <w:rPr>
          <w:rFonts w:ascii="Times New Roman" w:hAnsi="Times New Roman" w:cs="Times New Roman"/>
        </w:rPr>
        <w:t>. doi: 10.3389/fnmol.2017.00025. PMID: 28210212; PMCID: PMC5288376.</w:t>
      </w:r>
    </w:p>
    <w:p w14:paraId="31B659E8" w14:textId="7A2691E3" w:rsidR="00EF42BE" w:rsidRPr="00EF42BE" w:rsidRDefault="00EF42BE" w:rsidP="00EF42BE">
      <w:pPr>
        <w:jc w:val="center"/>
        <w:rPr>
          <w:rFonts w:ascii="Times New Roman" w:hAnsi="Times New Roman" w:cs="Times New Roman" w:hint="eastAsia"/>
        </w:rPr>
      </w:pPr>
      <w:r>
        <w:rPr>
          <w:rFonts w:ascii="Times New Roman" w:hAnsi="Times New Roman" w:cs="Times New Roman" w:hint="eastAsia"/>
        </w:rPr>
        <w:t>青春期成年期慢性给予皮质酮可以促进大鼠的认知功能以及促进前额叶和海马突触可塑性</w:t>
      </w:r>
    </w:p>
    <w:p w14:paraId="1F685973" w14:textId="68B2E2DE" w:rsidR="008B74D8" w:rsidRPr="00BE0F82" w:rsidRDefault="00BE0F82" w:rsidP="008B74D8">
      <w:pPr>
        <w:rPr>
          <w:rFonts w:ascii="Times New Roman" w:hAnsi="Times New Roman" w:cs="Times New Roman"/>
          <w:b/>
          <w:bCs/>
          <w:sz w:val="28"/>
          <w:szCs w:val="32"/>
        </w:rPr>
      </w:pPr>
      <w:r w:rsidRPr="003B321E">
        <w:rPr>
          <w:rFonts w:ascii="Times New Roman" w:hAnsi="Times New Roman" w:cs="Times New Roman" w:hint="eastAsia"/>
          <w:b/>
          <w:bCs/>
          <w:sz w:val="28"/>
          <w:szCs w:val="32"/>
        </w:rPr>
        <w:lastRenderedPageBreak/>
        <w:t>2</w:t>
      </w:r>
      <w:r w:rsidRPr="003B321E">
        <w:rPr>
          <w:rFonts w:ascii="Times New Roman" w:hAnsi="Times New Roman" w:cs="Times New Roman"/>
          <w:b/>
          <w:bCs/>
          <w:sz w:val="28"/>
          <w:szCs w:val="32"/>
        </w:rPr>
        <w:t>0</w:t>
      </w:r>
      <w:r>
        <w:rPr>
          <w:rFonts w:ascii="Times New Roman" w:hAnsi="Times New Roman" w:cs="Times New Roman"/>
          <w:b/>
          <w:bCs/>
          <w:sz w:val="28"/>
          <w:szCs w:val="32"/>
        </w:rPr>
        <w:t>16</w:t>
      </w:r>
      <w:r w:rsidRPr="003B321E">
        <w:rPr>
          <w:rFonts w:ascii="Times New Roman" w:hAnsi="Times New Roman" w:cs="Times New Roman" w:hint="eastAsia"/>
          <w:b/>
          <w:bCs/>
          <w:sz w:val="28"/>
          <w:szCs w:val="32"/>
        </w:rPr>
        <w:t>年</w:t>
      </w:r>
    </w:p>
    <w:p w14:paraId="71785A33" w14:textId="011AB5C2" w:rsidR="003D6903" w:rsidRDefault="003D6903" w:rsidP="008B74D8">
      <w:pPr>
        <w:rPr>
          <w:rFonts w:ascii="Times New Roman" w:hAnsi="Times New Roman" w:cs="Times New Roman"/>
        </w:rPr>
      </w:pPr>
      <w:r>
        <w:rPr>
          <w:noProof/>
        </w:rPr>
        <w:drawing>
          <wp:anchor distT="0" distB="0" distL="114300" distR="114300" simplePos="0" relativeHeight="251684864" behindDoc="0" locked="0" layoutInCell="1" allowOverlap="1" wp14:anchorId="3F82E997" wp14:editId="11583039">
            <wp:simplePos x="0" y="0"/>
            <wp:positionH relativeFrom="column">
              <wp:posOffset>533400</wp:posOffset>
            </wp:positionH>
            <wp:positionV relativeFrom="paragraph">
              <wp:posOffset>854710</wp:posOffset>
            </wp:positionV>
            <wp:extent cx="4025900" cy="3329305"/>
            <wp:effectExtent l="0" t="0" r="0" b="444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5900" cy="3329305"/>
                    </a:xfrm>
                    <a:prstGeom prst="rect">
                      <a:avLst/>
                    </a:prstGeom>
                  </pic:spPr>
                </pic:pic>
              </a:graphicData>
            </a:graphic>
            <wp14:sizeRelH relativeFrom="margin">
              <wp14:pctWidth>0</wp14:pctWidth>
            </wp14:sizeRelH>
            <wp14:sizeRelV relativeFrom="margin">
              <wp14:pctHeight>0</wp14:pctHeight>
            </wp14:sizeRelV>
          </wp:anchor>
        </w:drawing>
      </w:r>
      <w:r w:rsidRPr="003D6903">
        <w:rPr>
          <w:rFonts w:ascii="Times New Roman" w:hAnsi="Times New Roman" w:cs="Times New Roman"/>
        </w:rPr>
        <w:t>Liu R, Yang XD, Liao XM, Xie XM, Su YA, Li JT, Wang XD, Si TM. Early postnatal stress suppresses the developmental trajectory of hippocampal pyramidal neurons: the role of CRHR1. Brain Struct Funct. 2016 Dec;221(9):4525-4536. doi: 10.1007/s00429-016-1182-4. Epub 2016 Jan 20. PMID: 26792004.</w:t>
      </w:r>
    </w:p>
    <w:p w14:paraId="737D1CC1" w14:textId="5A0B5DCF" w:rsidR="003D6903" w:rsidRDefault="003D6903" w:rsidP="008B74D8">
      <w:pPr>
        <w:rPr>
          <w:rFonts w:ascii="Times New Roman" w:hAnsi="Times New Roman" w:cs="Times New Roman"/>
        </w:rPr>
      </w:pPr>
    </w:p>
    <w:p w14:paraId="183C2957" w14:textId="06932EAA" w:rsidR="003D6903" w:rsidRDefault="00EF42BE" w:rsidP="0011779D">
      <w:pPr>
        <w:jc w:val="center"/>
        <w:rPr>
          <w:rFonts w:ascii="Times New Roman" w:hAnsi="Times New Roman" w:cs="Times New Roman"/>
        </w:rPr>
      </w:pPr>
      <w:r w:rsidRPr="00650647">
        <w:rPr>
          <w:rFonts w:ascii="Times New Roman" w:hAnsi="Times New Roman" w:cs="Times New Roman"/>
        </w:rPr>
        <w:t xml:space="preserve">CRH-CRHR1 </w:t>
      </w:r>
      <w:r>
        <w:rPr>
          <w:rFonts w:ascii="Times New Roman" w:hAnsi="Times New Roman" w:cs="Times New Roman" w:hint="eastAsia"/>
        </w:rPr>
        <w:t>系统可能</w:t>
      </w:r>
      <w:proofErr w:type="gramStart"/>
      <w:r>
        <w:rPr>
          <w:rFonts w:ascii="Times New Roman" w:hAnsi="Times New Roman" w:cs="Times New Roman" w:hint="eastAsia"/>
        </w:rPr>
        <w:t>介</w:t>
      </w:r>
      <w:proofErr w:type="gramEnd"/>
      <w:r>
        <w:rPr>
          <w:rFonts w:ascii="Times New Roman" w:hAnsi="Times New Roman" w:cs="Times New Roman" w:hint="eastAsia"/>
        </w:rPr>
        <w:t>导</w:t>
      </w:r>
      <w:r w:rsidRPr="00650647">
        <w:rPr>
          <w:rFonts w:ascii="Times New Roman" w:hAnsi="Times New Roman" w:cs="Times New Roman" w:hint="eastAsia"/>
        </w:rPr>
        <w:t>早年应激</w:t>
      </w:r>
      <w:r>
        <w:rPr>
          <w:rFonts w:ascii="Times New Roman" w:hAnsi="Times New Roman" w:cs="Times New Roman" w:hint="eastAsia"/>
        </w:rPr>
        <w:t>所致</w:t>
      </w:r>
      <w:r w:rsidRPr="00650647">
        <w:rPr>
          <w:rFonts w:ascii="Times New Roman" w:hAnsi="Times New Roman" w:cs="Times New Roman" w:hint="eastAsia"/>
        </w:rPr>
        <w:t>小鼠海马</w:t>
      </w:r>
      <w:r w:rsidRPr="00650647">
        <w:rPr>
          <w:rFonts w:ascii="Times New Roman" w:hAnsi="Times New Roman" w:cs="Times New Roman"/>
        </w:rPr>
        <w:t xml:space="preserve"> CA3 </w:t>
      </w:r>
      <w:r w:rsidRPr="00650647">
        <w:rPr>
          <w:rFonts w:ascii="Times New Roman" w:hAnsi="Times New Roman" w:cs="Times New Roman"/>
        </w:rPr>
        <w:t>区锥体神经元</w:t>
      </w:r>
      <w:r>
        <w:rPr>
          <w:rFonts w:ascii="Times New Roman" w:hAnsi="Times New Roman" w:cs="Times New Roman" w:hint="eastAsia"/>
        </w:rPr>
        <w:t>生长发育改变</w:t>
      </w:r>
    </w:p>
    <w:p w14:paraId="5771E807" w14:textId="77777777" w:rsidR="0011779D" w:rsidRPr="00EF42BE" w:rsidRDefault="0011779D" w:rsidP="0011779D">
      <w:pPr>
        <w:jc w:val="center"/>
        <w:rPr>
          <w:rFonts w:ascii="Times New Roman" w:hAnsi="Times New Roman" w:cs="Times New Roman" w:hint="eastAsia"/>
        </w:rPr>
      </w:pPr>
    </w:p>
    <w:p w14:paraId="42D67B27" w14:textId="31294B57" w:rsidR="008B74D8" w:rsidRPr="00EE7082" w:rsidRDefault="00EE7082" w:rsidP="008B74D8">
      <w:pPr>
        <w:rPr>
          <w:rFonts w:ascii="Times New Roman" w:hAnsi="Times New Roman" w:cs="Times New Roman"/>
        </w:rPr>
      </w:pPr>
      <w:r>
        <w:rPr>
          <w:noProof/>
        </w:rPr>
        <w:drawing>
          <wp:anchor distT="0" distB="0" distL="114300" distR="114300" simplePos="0" relativeHeight="251679744" behindDoc="0" locked="0" layoutInCell="1" allowOverlap="1" wp14:anchorId="4CD76CD0" wp14:editId="50956B62">
            <wp:simplePos x="0" y="0"/>
            <wp:positionH relativeFrom="column">
              <wp:posOffset>192405</wp:posOffset>
            </wp:positionH>
            <wp:positionV relativeFrom="paragraph">
              <wp:posOffset>843280</wp:posOffset>
            </wp:positionV>
            <wp:extent cx="5045710" cy="2463800"/>
            <wp:effectExtent l="0" t="0" r="254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5710" cy="2463800"/>
                    </a:xfrm>
                    <a:prstGeom prst="rect">
                      <a:avLst/>
                    </a:prstGeom>
                    <a:noFill/>
                  </pic:spPr>
                </pic:pic>
              </a:graphicData>
            </a:graphic>
            <wp14:sizeRelH relativeFrom="page">
              <wp14:pctWidth>0</wp14:pctWidth>
            </wp14:sizeRelH>
            <wp14:sizeRelV relativeFrom="page">
              <wp14:pctHeight>0</wp14:pctHeight>
            </wp14:sizeRelV>
          </wp:anchor>
        </w:drawing>
      </w:r>
      <w:r w:rsidR="00193833" w:rsidRPr="00193833">
        <w:rPr>
          <w:rFonts w:ascii="Times New Roman" w:hAnsi="Times New Roman" w:cs="Times New Roman"/>
        </w:rPr>
        <w:t xml:space="preserve">Li JT, Su YA, Wang HL, Zhao YY, Liao XM, Wang XD, Si TM. Repeated Blockade of NMDA Receptors During Adolescence Impairs Reversal Learning and Disrupts GABAergic Interneurons in Rat Medial Prefrontal Cortex. Front Mol Neurosci. 2016 Mar </w:t>
      </w:r>
      <w:r w:rsidR="00474100" w:rsidRPr="00193833">
        <w:rPr>
          <w:rFonts w:ascii="Times New Roman" w:hAnsi="Times New Roman" w:cs="Times New Roman"/>
        </w:rPr>
        <w:t>3; 9:17</w:t>
      </w:r>
      <w:r w:rsidR="00193833" w:rsidRPr="00193833">
        <w:rPr>
          <w:rFonts w:ascii="Times New Roman" w:hAnsi="Times New Roman" w:cs="Times New Roman"/>
        </w:rPr>
        <w:t>. doi: 10.3389/fnmol.2016.00017. PMID: 26973457; PMCID: PMC4776083.</w:t>
      </w:r>
    </w:p>
    <w:p w14:paraId="21E6BBAC" w14:textId="1EAF8DF2" w:rsidR="0011779D" w:rsidRDefault="0011779D" w:rsidP="0011779D">
      <w:pPr>
        <w:jc w:val="center"/>
        <w:rPr>
          <w:rFonts w:ascii="Times New Roman" w:hAnsi="Times New Roman" w:cs="Times New Roman" w:hint="eastAsia"/>
        </w:rPr>
      </w:pPr>
      <w:r>
        <w:rPr>
          <w:rFonts w:ascii="Times New Roman" w:hAnsi="Times New Roman" w:cs="Times New Roman" w:hint="eastAsia"/>
        </w:rPr>
        <w:t>青春期慢性拮抗</w:t>
      </w:r>
      <w:r>
        <w:rPr>
          <w:rFonts w:ascii="Times New Roman" w:hAnsi="Times New Roman" w:cs="Times New Roman" w:hint="eastAsia"/>
        </w:rPr>
        <w:t>N</w:t>
      </w:r>
      <w:r>
        <w:rPr>
          <w:rFonts w:ascii="Times New Roman" w:hAnsi="Times New Roman" w:cs="Times New Roman"/>
        </w:rPr>
        <w:t>MDA</w:t>
      </w:r>
      <w:r>
        <w:rPr>
          <w:rFonts w:ascii="Times New Roman" w:hAnsi="Times New Roman" w:cs="Times New Roman" w:hint="eastAsia"/>
        </w:rPr>
        <w:t>受体会损伤逆反学习以及前额叶皮层</w:t>
      </w:r>
      <w:r>
        <w:rPr>
          <w:rFonts w:ascii="Times New Roman" w:hAnsi="Times New Roman" w:cs="Times New Roman"/>
        </w:rPr>
        <w:t>GABA</w:t>
      </w:r>
      <w:r>
        <w:rPr>
          <w:rFonts w:ascii="Times New Roman" w:hAnsi="Times New Roman" w:cs="Times New Roman" w:hint="eastAsia"/>
        </w:rPr>
        <w:t>能系统紊乱</w:t>
      </w:r>
    </w:p>
    <w:p w14:paraId="44B24879" w14:textId="77777777" w:rsidR="0011779D" w:rsidRPr="0011779D" w:rsidRDefault="0011779D" w:rsidP="0011779D">
      <w:pPr>
        <w:jc w:val="center"/>
        <w:rPr>
          <w:rFonts w:ascii="Times New Roman" w:hAnsi="Times New Roman" w:cs="Times New Roman" w:hint="eastAsia"/>
        </w:rPr>
      </w:pPr>
    </w:p>
    <w:p w14:paraId="5C5FB0F3" w14:textId="7F3EA902" w:rsidR="00BE0F82" w:rsidRPr="00BE0F82" w:rsidRDefault="00BE0F82" w:rsidP="008B74D8">
      <w:pPr>
        <w:rPr>
          <w:rFonts w:ascii="Times New Roman" w:hAnsi="Times New Roman" w:cs="Times New Roman"/>
          <w:b/>
          <w:bCs/>
          <w:sz w:val="28"/>
          <w:szCs w:val="32"/>
        </w:rPr>
      </w:pPr>
      <w:r w:rsidRPr="003B321E">
        <w:rPr>
          <w:rFonts w:ascii="Times New Roman" w:hAnsi="Times New Roman" w:cs="Times New Roman" w:hint="eastAsia"/>
          <w:b/>
          <w:bCs/>
          <w:sz w:val="28"/>
          <w:szCs w:val="32"/>
        </w:rPr>
        <w:lastRenderedPageBreak/>
        <w:t>2</w:t>
      </w:r>
      <w:r w:rsidRPr="003B321E">
        <w:rPr>
          <w:rFonts w:ascii="Times New Roman" w:hAnsi="Times New Roman" w:cs="Times New Roman"/>
          <w:b/>
          <w:bCs/>
          <w:sz w:val="28"/>
          <w:szCs w:val="32"/>
        </w:rPr>
        <w:t>0</w:t>
      </w:r>
      <w:r>
        <w:rPr>
          <w:rFonts w:ascii="Times New Roman" w:hAnsi="Times New Roman" w:cs="Times New Roman"/>
          <w:b/>
          <w:bCs/>
          <w:sz w:val="28"/>
          <w:szCs w:val="32"/>
        </w:rPr>
        <w:t>15</w:t>
      </w:r>
      <w:r w:rsidRPr="003B321E">
        <w:rPr>
          <w:rFonts w:ascii="Times New Roman" w:hAnsi="Times New Roman" w:cs="Times New Roman" w:hint="eastAsia"/>
          <w:b/>
          <w:bCs/>
          <w:sz w:val="28"/>
          <w:szCs w:val="32"/>
        </w:rPr>
        <w:t>年</w:t>
      </w:r>
    </w:p>
    <w:p w14:paraId="4AC52AF7" w14:textId="432E2574" w:rsidR="00EE7082" w:rsidRPr="00EE7082" w:rsidRDefault="00BE0F82" w:rsidP="008B74D8">
      <w:pPr>
        <w:rPr>
          <w:rFonts w:ascii="Times New Roman" w:hAnsi="Times New Roman" w:cs="Times New Roman"/>
        </w:rPr>
      </w:pPr>
      <w:r>
        <w:rPr>
          <w:rFonts w:hint="eastAsia"/>
          <w:noProof/>
        </w:rPr>
        <w:drawing>
          <wp:anchor distT="0" distB="0" distL="114300" distR="114300" simplePos="0" relativeHeight="251681792" behindDoc="0" locked="0" layoutInCell="1" allowOverlap="1" wp14:anchorId="0A00A04D" wp14:editId="512C4E94">
            <wp:simplePos x="0" y="0"/>
            <wp:positionH relativeFrom="column">
              <wp:posOffset>711200</wp:posOffset>
            </wp:positionH>
            <wp:positionV relativeFrom="paragraph">
              <wp:posOffset>839470</wp:posOffset>
            </wp:positionV>
            <wp:extent cx="3822700" cy="3542030"/>
            <wp:effectExtent l="0" t="0" r="6350" b="127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2700" cy="3542030"/>
                    </a:xfrm>
                    <a:prstGeom prst="rect">
                      <a:avLst/>
                    </a:prstGeom>
                    <a:noFill/>
                  </pic:spPr>
                </pic:pic>
              </a:graphicData>
            </a:graphic>
            <wp14:sizeRelH relativeFrom="page">
              <wp14:pctWidth>0</wp14:pctWidth>
            </wp14:sizeRelH>
            <wp14:sizeRelV relativeFrom="page">
              <wp14:pctHeight>0</wp14:pctHeight>
            </wp14:sizeRelV>
          </wp:anchor>
        </w:drawing>
      </w:r>
      <w:r w:rsidR="00EE7082" w:rsidRPr="00EE7082">
        <w:rPr>
          <w:rFonts w:ascii="Times New Roman" w:hAnsi="Times New Roman" w:cs="Times New Roman"/>
        </w:rPr>
        <w:t xml:space="preserve">Li JT, Zhao YY, Wang HL, Wang XD, Su YA, Si TM. Long-term effects of neonatal exposure to MK-801 on recognition memory and excitatory-inhibitory balance in rat hippocampus. Neuroscience. 2015 Nov </w:t>
      </w:r>
      <w:r w:rsidR="00C6091E" w:rsidRPr="00EE7082">
        <w:rPr>
          <w:rFonts w:ascii="Times New Roman" w:hAnsi="Times New Roman" w:cs="Times New Roman"/>
        </w:rPr>
        <w:t>12; 308:134</w:t>
      </w:r>
      <w:r w:rsidR="00EE7082" w:rsidRPr="00EE7082">
        <w:rPr>
          <w:rFonts w:ascii="Times New Roman" w:hAnsi="Times New Roman" w:cs="Times New Roman"/>
        </w:rPr>
        <w:t>-43. doi: 10.1016/j.neuroscience.2015.09.003. Epub 2015 Sep 6. PMID: 26349007.</w:t>
      </w:r>
    </w:p>
    <w:p w14:paraId="393F4EE0" w14:textId="77AA79F4" w:rsidR="008B74D8" w:rsidRDefault="0011779D" w:rsidP="0011779D">
      <w:pPr>
        <w:jc w:val="center"/>
      </w:pPr>
      <w:r>
        <w:rPr>
          <w:rFonts w:hint="eastAsia"/>
        </w:rPr>
        <w:t>新生期重复给予M</w:t>
      </w:r>
      <w:r>
        <w:t>K-801</w:t>
      </w:r>
      <w:r>
        <w:rPr>
          <w:rFonts w:hint="eastAsia"/>
        </w:rPr>
        <w:t>会导致成年小鼠的认知功能损伤以及海马的兴奋-抑制平衡紊乱</w:t>
      </w:r>
    </w:p>
    <w:p w14:paraId="62157176" w14:textId="77777777" w:rsidR="0011779D" w:rsidRDefault="0011779D" w:rsidP="0011779D">
      <w:pPr>
        <w:jc w:val="center"/>
        <w:rPr>
          <w:rFonts w:hint="eastAsia"/>
        </w:rPr>
      </w:pPr>
    </w:p>
    <w:p w14:paraId="64EDE35E" w14:textId="0DD6EB0F" w:rsidR="00BE0F82" w:rsidRPr="00BE0F82" w:rsidRDefault="00990DBE" w:rsidP="008B74D8">
      <w:pPr>
        <w:rPr>
          <w:rFonts w:ascii="Times New Roman" w:hAnsi="Times New Roman" w:cs="Times New Roman"/>
        </w:rPr>
      </w:pPr>
      <w:r>
        <w:rPr>
          <w:noProof/>
        </w:rPr>
        <w:drawing>
          <wp:anchor distT="0" distB="0" distL="114300" distR="114300" simplePos="0" relativeHeight="251682816" behindDoc="0" locked="0" layoutInCell="1" allowOverlap="1" wp14:anchorId="2D7C67DD" wp14:editId="76EB587B">
            <wp:simplePos x="0" y="0"/>
            <wp:positionH relativeFrom="column">
              <wp:posOffset>35560</wp:posOffset>
            </wp:positionH>
            <wp:positionV relativeFrom="paragraph">
              <wp:posOffset>863600</wp:posOffset>
            </wp:positionV>
            <wp:extent cx="5459595" cy="2361678"/>
            <wp:effectExtent l="0" t="0" r="8255" b="63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9595" cy="2361678"/>
                    </a:xfrm>
                    <a:prstGeom prst="rect">
                      <a:avLst/>
                    </a:prstGeom>
                    <a:noFill/>
                  </pic:spPr>
                </pic:pic>
              </a:graphicData>
            </a:graphic>
            <wp14:sizeRelH relativeFrom="page">
              <wp14:pctWidth>0</wp14:pctWidth>
            </wp14:sizeRelH>
            <wp14:sizeRelV relativeFrom="page">
              <wp14:pctHeight>0</wp14:pctHeight>
            </wp14:sizeRelV>
          </wp:anchor>
        </w:drawing>
      </w:r>
      <w:r w:rsidR="00BE0F82" w:rsidRPr="00BE0F82">
        <w:rPr>
          <w:rFonts w:ascii="Times New Roman" w:hAnsi="Times New Roman" w:cs="Times New Roman"/>
        </w:rPr>
        <w:t>Yang XD, Liao XM, Uribe-Mariño A, Liu R, Xie XM, Jia J, Su YA, Li JT, Schmidt MV, Wang XD, Si TM. Stress during a critical postnatal period induces region-specific structural abnormalities and dysfunction of the prefrontal cortex via CRF1. Neuropsychopharmacology. 2015 Mar 13;40(5):1203-15. doi: 10.1038/npp.2014.304. PMID: 25403725; PMCID: PMC4367464.</w:t>
      </w:r>
    </w:p>
    <w:p w14:paraId="0FB08F9F" w14:textId="17E60C32" w:rsidR="003D6903" w:rsidRPr="00990DBE" w:rsidRDefault="00990DBE" w:rsidP="00990DBE">
      <w:pPr>
        <w:jc w:val="center"/>
        <w:rPr>
          <w:rFonts w:hint="eastAsia"/>
        </w:rPr>
      </w:pPr>
      <w:r>
        <w:rPr>
          <w:rFonts w:hint="eastAsia"/>
        </w:rPr>
        <w:t>C</w:t>
      </w:r>
      <w:r>
        <w:t>RH-CRHR1</w:t>
      </w:r>
      <w:r>
        <w:rPr>
          <w:rFonts w:hint="eastAsia"/>
        </w:rPr>
        <w:t>系统</w:t>
      </w:r>
      <w:proofErr w:type="gramStart"/>
      <w:r>
        <w:rPr>
          <w:rFonts w:hint="eastAsia"/>
        </w:rPr>
        <w:t>介</w:t>
      </w:r>
      <w:proofErr w:type="gramEnd"/>
      <w:r>
        <w:rPr>
          <w:rFonts w:hint="eastAsia"/>
        </w:rPr>
        <w:t>导了早年应激所致</w:t>
      </w:r>
      <w:r w:rsidRPr="00990DBE">
        <w:rPr>
          <w:rFonts w:hint="eastAsia"/>
        </w:rPr>
        <w:t>小鼠</w:t>
      </w:r>
      <w:r>
        <w:rPr>
          <w:rFonts w:hint="eastAsia"/>
        </w:rPr>
        <w:t>前额叶皮层</w:t>
      </w:r>
      <w:r w:rsidRPr="00990DBE">
        <w:rPr>
          <w:rFonts w:hint="eastAsia"/>
        </w:rPr>
        <w:t>树突发育</w:t>
      </w:r>
      <w:r>
        <w:rPr>
          <w:rFonts w:hint="eastAsia"/>
        </w:rPr>
        <w:t>异常以及认知功能损伤</w:t>
      </w:r>
    </w:p>
    <w:p w14:paraId="63FC46C3" w14:textId="0AE1B384" w:rsidR="00474100" w:rsidRPr="00474100" w:rsidRDefault="00474100" w:rsidP="008B74D8">
      <w:pPr>
        <w:rPr>
          <w:rFonts w:ascii="Times New Roman" w:hAnsi="Times New Roman" w:cs="Times New Roman"/>
          <w:b/>
          <w:bCs/>
          <w:sz w:val="28"/>
          <w:szCs w:val="32"/>
        </w:rPr>
      </w:pPr>
      <w:r w:rsidRPr="003B321E">
        <w:rPr>
          <w:rFonts w:ascii="Times New Roman" w:hAnsi="Times New Roman" w:cs="Times New Roman" w:hint="eastAsia"/>
          <w:b/>
          <w:bCs/>
          <w:sz w:val="28"/>
          <w:szCs w:val="32"/>
        </w:rPr>
        <w:lastRenderedPageBreak/>
        <w:t>2</w:t>
      </w:r>
      <w:r w:rsidRPr="003B321E">
        <w:rPr>
          <w:rFonts w:ascii="Times New Roman" w:hAnsi="Times New Roman" w:cs="Times New Roman"/>
          <w:b/>
          <w:bCs/>
          <w:sz w:val="28"/>
          <w:szCs w:val="32"/>
        </w:rPr>
        <w:t>0</w:t>
      </w:r>
      <w:r>
        <w:rPr>
          <w:rFonts w:ascii="Times New Roman" w:hAnsi="Times New Roman" w:cs="Times New Roman"/>
          <w:b/>
          <w:bCs/>
          <w:sz w:val="28"/>
          <w:szCs w:val="32"/>
        </w:rPr>
        <w:t>14</w:t>
      </w:r>
      <w:r w:rsidRPr="003B321E">
        <w:rPr>
          <w:rFonts w:ascii="Times New Roman" w:hAnsi="Times New Roman" w:cs="Times New Roman" w:hint="eastAsia"/>
          <w:b/>
          <w:bCs/>
          <w:sz w:val="28"/>
          <w:szCs w:val="32"/>
        </w:rPr>
        <w:t>年</w:t>
      </w:r>
    </w:p>
    <w:p w14:paraId="6A4EB808" w14:textId="6B717C23" w:rsidR="008B74D8" w:rsidRPr="00474100" w:rsidRDefault="00DA6218" w:rsidP="008B74D8">
      <w:pPr>
        <w:rPr>
          <w:rFonts w:ascii="Times New Roman" w:hAnsi="Times New Roman" w:cs="Times New Roman"/>
        </w:rPr>
      </w:pPr>
      <w:r>
        <w:rPr>
          <w:noProof/>
        </w:rPr>
        <w:drawing>
          <wp:anchor distT="0" distB="0" distL="114300" distR="114300" simplePos="0" relativeHeight="251685888" behindDoc="0" locked="0" layoutInCell="1" allowOverlap="1" wp14:anchorId="57CB3F97" wp14:editId="40166FBE">
            <wp:simplePos x="0" y="0"/>
            <wp:positionH relativeFrom="column">
              <wp:posOffset>266700</wp:posOffset>
            </wp:positionH>
            <wp:positionV relativeFrom="paragraph">
              <wp:posOffset>905510</wp:posOffset>
            </wp:positionV>
            <wp:extent cx="4749800" cy="3201670"/>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49800" cy="3201670"/>
                    </a:xfrm>
                    <a:prstGeom prst="rect">
                      <a:avLst/>
                    </a:prstGeom>
                    <a:noFill/>
                  </pic:spPr>
                </pic:pic>
              </a:graphicData>
            </a:graphic>
            <wp14:sizeRelH relativeFrom="page">
              <wp14:pctWidth>0</wp14:pctWidth>
            </wp14:sizeRelH>
            <wp14:sizeRelV relativeFrom="page">
              <wp14:pctHeight>0</wp14:pctHeight>
            </wp14:sizeRelV>
          </wp:anchor>
        </w:drawing>
      </w:r>
      <w:r w:rsidR="00474100" w:rsidRPr="00474100">
        <w:rPr>
          <w:rFonts w:ascii="Times New Roman" w:hAnsi="Times New Roman" w:cs="Times New Roman"/>
        </w:rPr>
        <w:t>Liao XM, Yang XD, Jia J, Li JT, Xie XM, Su YA, Schmidt MV, Si TM, Wang XD. Blockade of corticotropin-releasing hormone receptor 1 attenuates early-life stress-induced synaptic abnormalities in the neonatal hippocampus. Hippocampus. 2014 May;24(5):528-40. doi: 10.1002/hipo.22254. Epub 2014 Feb 18. PMID: 24493406.</w:t>
      </w:r>
    </w:p>
    <w:p w14:paraId="68F6FC7F" w14:textId="160307BE" w:rsidR="008B74D8" w:rsidRDefault="00990DBE" w:rsidP="00F17454">
      <w:pPr>
        <w:jc w:val="center"/>
      </w:pPr>
      <w:r>
        <w:t>CRH-CRHR1 系统是应激后新生期海</w:t>
      </w:r>
      <w:r>
        <w:rPr>
          <w:rFonts w:hint="eastAsia"/>
        </w:rPr>
        <w:t>马树突发育和突触形成受阻的潜在</w:t>
      </w:r>
      <w:r w:rsidR="00F17454">
        <w:rPr>
          <w:rFonts w:hint="eastAsia"/>
        </w:rPr>
        <w:t>机制</w:t>
      </w:r>
    </w:p>
    <w:p w14:paraId="61351FEE" w14:textId="5F44BF73" w:rsidR="003D6903" w:rsidRPr="00F17454" w:rsidRDefault="003D6903" w:rsidP="003D6903"/>
    <w:p w14:paraId="4DA1B404" w14:textId="4F83D3B2" w:rsidR="003D6903" w:rsidRDefault="003D6903" w:rsidP="003D6903"/>
    <w:p w14:paraId="0F5D3021" w14:textId="77777777" w:rsidR="003D6903" w:rsidRDefault="003D6903" w:rsidP="003D6903"/>
    <w:p w14:paraId="4E16E712" w14:textId="77777777" w:rsidR="003D6903" w:rsidRPr="00474100" w:rsidRDefault="003D6903" w:rsidP="003D6903">
      <w:pPr>
        <w:rPr>
          <w:rFonts w:ascii="Times New Roman" w:hAnsi="Times New Roman" w:cs="Times New Roman"/>
        </w:rPr>
      </w:pPr>
    </w:p>
    <w:p w14:paraId="66417C0F" w14:textId="08B7FC40" w:rsidR="008B74D8" w:rsidRPr="003D6903" w:rsidRDefault="008B74D8" w:rsidP="008B74D8"/>
    <w:p w14:paraId="7941492D" w14:textId="17615064" w:rsidR="008B74D8" w:rsidRDefault="008B74D8" w:rsidP="008B74D8"/>
    <w:p w14:paraId="58A13B9B" w14:textId="4D4067CC" w:rsidR="008B74D8" w:rsidRDefault="008B74D8" w:rsidP="008B74D8"/>
    <w:p w14:paraId="3C7897AE" w14:textId="6FB92FE3" w:rsidR="008B74D8" w:rsidRDefault="008B74D8" w:rsidP="008B74D8"/>
    <w:p w14:paraId="795FB70A" w14:textId="44F2BC03" w:rsidR="008B74D8" w:rsidRDefault="008B74D8" w:rsidP="008B74D8"/>
    <w:p w14:paraId="67FDE9C0" w14:textId="5ECEE934" w:rsidR="008B74D8" w:rsidRDefault="008B74D8" w:rsidP="008B74D8"/>
    <w:p w14:paraId="12FD52FA" w14:textId="3FEC0CA5" w:rsidR="008B74D8" w:rsidRDefault="008B74D8" w:rsidP="008B74D8"/>
    <w:p w14:paraId="56FD7145" w14:textId="7597F28B" w:rsidR="008B74D8" w:rsidRDefault="008B74D8"/>
    <w:sectPr w:rsidR="008B74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A24CD" w14:textId="77777777" w:rsidR="007D0AB0" w:rsidRDefault="007D0AB0" w:rsidP="00650647">
      <w:r>
        <w:separator/>
      </w:r>
    </w:p>
  </w:endnote>
  <w:endnote w:type="continuationSeparator" w:id="0">
    <w:p w14:paraId="3D067D3C" w14:textId="77777777" w:rsidR="007D0AB0" w:rsidRDefault="007D0AB0" w:rsidP="00650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0962D" w14:textId="77777777" w:rsidR="007D0AB0" w:rsidRDefault="007D0AB0" w:rsidP="00650647">
      <w:r>
        <w:separator/>
      </w:r>
    </w:p>
  </w:footnote>
  <w:footnote w:type="continuationSeparator" w:id="0">
    <w:p w14:paraId="570C4361" w14:textId="77777777" w:rsidR="007D0AB0" w:rsidRDefault="007D0AB0" w:rsidP="006506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CB3"/>
    <w:rsid w:val="00044B1B"/>
    <w:rsid w:val="0011779D"/>
    <w:rsid w:val="00132D76"/>
    <w:rsid w:val="00193833"/>
    <w:rsid w:val="002654DC"/>
    <w:rsid w:val="003046D9"/>
    <w:rsid w:val="003B321E"/>
    <w:rsid w:val="003D6903"/>
    <w:rsid w:val="003F6ADE"/>
    <w:rsid w:val="00474100"/>
    <w:rsid w:val="00621E40"/>
    <w:rsid w:val="00650647"/>
    <w:rsid w:val="006B74CD"/>
    <w:rsid w:val="00755FA1"/>
    <w:rsid w:val="007D0AB0"/>
    <w:rsid w:val="008B74D8"/>
    <w:rsid w:val="00924576"/>
    <w:rsid w:val="00990DBE"/>
    <w:rsid w:val="00A06BFD"/>
    <w:rsid w:val="00A50E69"/>
    <w:rsid w:val="00A82B14"/>
    <w:rsid w:val="00BE0F82"/>
    <w:rsid w:val="00BF4584"/>
    <w:rsid w:val="00C02221"/>
    <w:rsid w:val="00C6091E"/>
    <w:rsid w:val="00CE3461"/>
    <w:rsid w:val="00D1485D"/>
    <w:rsid w:val="00D8389C"/>
    <w:rsid w:val="00DA6218"/>
    <w:rsid w:val="00DC6116"/>
    <w:rsid w:val="00E17291"/>
    <w:rsid w:val="00E72CB3"/>
    <w:rsid w:val="00E95B9F"/>
    <w:rsid w:val="00EE7082"/>
    <w:rsid w:val="00EF42BE"/>
    <w:rsid w:val="00F16FFD"/>
    <w:rsid w:val="00F17454"/>
    <w:rsid w:val="00FE1F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B84D5"/>
  <w15:chartTrackingRefBased/>
  <w15:docId w15:val="{CF4495B0-E697-4EA2-BA46-6171143F2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779D"/>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064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50647"/>
    <w:rPr>
      <w:sz w:val="18"/>
      <w:szCs w:val="18"/>
    </w:rPr>
  </w:style>
  <w:style w:type="paragraph" w:styleId="a5">
    <w:name w:val="footer"/>
    <w:basedOn w:val="a"/>
    <w:link w:val="a6"/>
    <w:uiPriority w:val="99"/>
    <w:unhideWhenUsed/>
    <w:rsid w:val="00650647"/>
    <w:pPr>
      <w:tabs>
        <w:tab w:val="center" w:pos="4153"/>
        <w:tab w:val="right" w:pos="8306"/>
      </w:tabs>
      <w:snapToGrid w:val="0"/>
      <w:jc w:val="left"/>
    </w:pPr>
    <w:rPr>
      <w:sz w:val="18"/>
      <w:szCs w:val="18"/>
    </w:rPr>
  </w:style>
  <w:style w:type="character" w:customStyle="1" w:styleId="a6">
    <w:name w:val="页脚 字符"/>
    <w:basedOn w:val="a0"/>
    <w:link w:val="a5"/>
    <w:uiPriority w:val="99"/>
    <w:rsid w:val="0065064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57F16-AB72-4EB3-844A-CB6BC31C8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8</Pages>
  <Words>783</Words>
  <Characters>4465</Characters>
  <Application>Microsoft Office Word</Application>
  <DocSecurity>0</DocSecurity>
  <Lines>37</Lines>
  <Paragraphs>10</Paragraphs>
  <ScaleCrop>false</ScaleCrop>
  <Company/>
  <LinksUpToDate>false</LinksUpToDate>
  <CharactersWithSpaces>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MYN</dc:creator>
  <cp:keywords/>
  <dc:description/>
  <cp:lastModifiedBy>MYN</cp:lastModifiedBy>
  <cp:revision>11</cp:revision>
  <dcterms:created xsi:type="dcterms:W3CDTF">2021-05-26T03:47:00Z</dcterms:created>
  <dcterms:modified xsi:type="dcterms:W3CDTF">2021-05-27T10:47:00Z</dcterms:modified>
</cp:coreProperties>
</file>